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6C4B6" w14:textId="7B9F6B0D" w:rsidR="0018024E" w:rsidRPr="0018024E" w:rsidRDefault="0018024E" w:rsidP="0018024E">
      <w:pPr>
        <w:keepNext/>
        <w:keepLines/>
        <w:spacing w:after="120" w:line="240" w:lineRule="auto"/>
        <w:ind w:left="528" w:hanging="360"/>
        <w:jc w:val="center"/>
        <w:outlineLvl w:val="1"/>
        <w:rPr>
          <w:rFonts w:ascii="Arial Narrow" w:eastAsia="Times New Roman" w:hAnsi="Arial Narrow" w:cs="Arial"/>
          <w:b/>
          <w:color w:val="193052"/>
          <w:sz w:val="24"/>
          <w:szCs w:val="26"/>
          <w:lang w:eastAsia="es-MX"/>
        </w:rPr>
      </w:pPr>
      <w:bookmarkStart w:id="0" w:name="_Toc154573017"/>
      <w:bookmarkStart w:id="1" w:name="_Toc154937053"/>
      <w:r w:rsidRPr="00E115F8">
        <w:rPr>
          <w:rFonts w:ascii="Arial Narrow" w:eastAsia="Times New Roman" w:hAnsi="Arial Narrow" w:cs="Arial"/>
          <w:b/>
          <w:color w:val="193052"/>
          <w:sz w:val="24"/>
          <w:szCs w:val="26"/>
          <w:lang w:eastAsia="es-MX"/>
        </w:rPr>
        <w:t xml:space="preserve">ANEXO </w:t>
      </w:r>
      <w:r>
        <w:rPr>
          <w:rFonts w:ascii="Arial Narrow" w:eastAsia="Times New Roman" w:hAnsi="Arial Narrow" w:cs="Arial"/>
          <w:b/>
          <w:color w:val="193052"/>
          <w:sz w:val="24"/>
          <w:szCs w:val="26"/>
          <w:lang w:eastAsia="es-MX"/>
        </w:rPr>
        <w:t>10</w:t>
      </w:r>
      <w:r w:rsidRPr="00E115F8">
        <w:rPr>
          <w:rFonts w:ascii="Arial Narrow" w:eastAsia="Times New Roman" w:hAnsi="Arial Narrow" w:cs="Arial"/>
          <w:b/>
          <w:color w:val="193052"/>
          <w:sz w:val="24"/>
          <w:szCs w:val="26"/>
          <w:lang w:eastAsia="es-MX"/>
        </w:rPr>
        <w:t xml:space="preserve">. </w:t>
      </w:r>
      <w:bookmarkEnd w:id="0"/>
      <w:bookmarkEnd w:id="1"/>
      <w:r>
        <w:rPr>
          <w:rFonts w:ascii="Arial Narrow" w:eastAsia="Times New Roman" w:hAnsi="Arial Narrow" w:cs="Arial"/>
          <w:b/>
          <w:color w:val="193052"/>
          <w:sz w:val="24"/>
          <w:szCs w:val="26"/>
          <w:lang w:eastAsia="es-MX"/>
        </w:rPr>
        <w:t>Metodología Estimación Económica Enfoque Territorial</w:t>
      </w:r>
    </w:p>
    <w:p w14:paraId="0BB56BF0" w14:textId="4F9020E2" w:rsidR="0018024E" w:rsidRPr="0018024E" w:rsidRDefault="0018024E" w:rsidP="0018024E">
      <w:pPr>
        <w:jc w:val="both"/>
        <w:rPr>
          <w:rFonts w:ascii="Arial" w:hAnsi="Arial" w:cs="Arial"/>
        </w:rPr>
      </w:pPr>
      <w:r w:rsidRPr="0018024E">
        <w:rPr>
          <w:rFonts w:ascii="Arial" w:hAnsi="Arial" w:cs="Arial"/>
        </w:rPr>
        <w:t xml:space="preserve">A continuación, se muestran los diferentes indicadores, los métodos de cálculo asociados </w:t>
      </w:r>
      <w:r>
        <w:rPr>
          <w:rFonts w:ascii="Arial" w:hAnsi="Arial" w:cs="Arial"/>
        </w:rPr>
        <w:t>con estimación cuantitativa del enfoque territorial</w:t>
      </w:r>
      <w:r w:rsidRPr="0018024E">
        <w:rPr>
          <w:rFonts w:ascii="Arial" w:hAnsi="Arial" w:cs="Arial"/>
        </w:rPr>
        <w:t xml:space="preserve"> para posteriormente calcular los valores monetarios respectivos. Como muestra la </w:t>
      </w:r>
      <w:r>
        <w:rPr>
          <w:rFonts w:ascii="Arial" w:hAnsi="Arial" w:cs="Arial"/>
        </w:rPr>
        <w:t>T</w:t>
      </w:r>
      <w:r w:rsidRPr="0018024E">
        <w:rPr>
          <w:rFonts w:ascii="Arial" w:hAnsi="Arial" w:cs="Arial"/>
        </w:rPr>
        <w:t xml:space="preserve">abla </w:t>
      </w:r>
      <w:r>
        <w:rPr>
          <w:rFonts w:ascii="Arial" w:hAnsi="Arial" w:cs="Arial"/>
        </w:rPr>
        <w:t>1</w:t>
      </w:r>
      <w:r w:rsidRPr="0018024E">
        <w:rPr>
          <w:rFonts w:ascii="Arial" w:hAnsi="Arial" w:cs="Arial"/>
        </w:rPr>
        <w:t xml:space="preserve"> cada variable representa un costo o un beneficio según sea el caso y una breve descripción metodológica.</w:t>
      </w:r>
    </w:p>
    <w:p w14:paraId="2AFEB640" w14:textId="154F3AD0" w:rsidR="0018024E" w:rsidRPr="0018024E" w:rsidRDefault="0018024E" w:rsidP="0018024E">
      <w:pPr>
        <w:jc w:val="center"/>
        <w:rPr>
          <w:rFonts w:ascii="Arial" w:hAnsi="Arial" w:cs="Arial"/>
          <w:b/>
          <w:bCs/>
        </w:rPr>
      </w:pPr>
      <w:r w:rsidRPr="0018024E">
        <w:rPr>
          <w:rFonts w:ascii="Arial" w:hAnsi="Arial" w:cs="Arial"/>
          <w:b/>
          <w:bCs/>
        </w:rPr>
        <w:t>Tabla</w:t>
      </w:r>
      <w:r>
        <w:rPr>
          <w:rFonts w:ascii="Arial" w:hAnsi="Arial" w:cs="Arial"/>
          <w:b/>
          <w:bCs/>
        </w:rPr>
        <w:t xml:space="preserve"> 1- </w:t>
      </w:r>
      <w:r w:rsidRPr="0018024E">
        <w:rPr>
          <w:rFonts w:ascii="Arial" w:hAnsi="Arial" w:cs="Arial"/>
          <w:b/>
          <w:bCs/>
        </w:rPr>
        <w:t xml:space="preserve">Indicadores </w:t>
      </w:r>
      <w:r>
        <w:rPr>
          <w:rFonts w:ascii="Arial" w:hAnsi="Arial" w:cs="Arial"/>
          <w:b/>
          <w:bCs/>
        </w:rPr>
        <w:t>a considerar dentro de la Metodología</w:t>
      </w:r>
      <w:r w:rsidRPr="0018024E">
        <w:rPr>
          <w:rFonts w:ascii="Arial" w:hAnsi="Arial" w:cs="Arial"/>
          <w:b/>
          <w:bCs/>
        </w:rPr>
        <w:t>.</w:t>
      </w:r>
    </w:p>
    <w:tbl>
      <w:tblPr>
        <w:tblStyle w:val="Tablaconcuadrcula"/>
        <w:tblW w:w="0" w:type="auto"/>
        <w:tblLook w:val="04A0" w:firstRow="1" w:lastRow="0" w:firstColumn="1" w:lastColumn="0" w:noHBand="0" w:noVBand="1"/>
      </w:tblPr>
      <w:tblGrid>
        <w:gridCol w:w="2405"/>
        <w:gridCol w:w="2126"/>
        <w:gridCol w:w="4297"/>
      </w:tblGrid>
      <w:tr w:rsidR="0018024E" w:rsidRPr="0018024E" w14:paraId="58F87C99" w14:textId="77777777" w:rsidTr="00F85AE2">
        <w:tc>
          <w:tcPr>
            <w:tcW w:w="2405" w:type="dxa"/>
          </w:tcPr>
          <w:p w14:paraId="08A28846" w14:textId="77777777" w:rsidR="0018024E" w:rsidRPr="0018024E" w:rsidRDefault="0018024E" w:rsidP="0018024E">
            <w:pPr>
              <w:jc w:val="both"/>
              <w:rPr>
                <w:rFonts w:ascii="Arial" w:hAnsi="Arial" w:cs="Arial"/>
                <w:b/>
                <w:bCs/>
              </w:rPr>
            </w:pPr>
            <w:r w:rsidRPr="0018024E">
              <w:rPr>
                <w:rFonts w:ascii="Arial" w:hAnsi="Arial" w:cs="Arial"/>
                <w:b/>
                <w:bCs/>
              </w:rPr>
              <w:t>Variable o Indicador</w:t>
            </w:r>
          </w:p>
        </w:tc>
        <w:tc>
          <w:tcPr>
            <w:tcW w:w="2126" w:type="dxa"/>
          </w:tcPr>
          <w:p w14:paraId="5E52A2CB" w14:textId="77777777" w:rsidR="0018024E" w:rsidRPr="0018024E" w:rsidRDefault="0018024E" w:rsidP="0018024E">
            <w:pPr>
              <w:jc w:val="both"/>
              <w:rPr>
                <w:rFonts w:ascii="Arial" w:hAnsi="Arial" w:cs="Arial"/>
                <w:b/>
                <w:bCs/>
              </w:rPr>
            </w:pPr>
            <w:r w:rsidRPr="0018024E">
              <w:rPr>
                <w:rFonts w:ascii="Arial" w:hAnsi="Arial" w:cs="Arial"/>
                <w:b/>
                <w:bCs/>
              </w:rPr>
              <w:t>Costo o Beneficio</w:t>
            </w:r>
          </w:p>
        </w:tc>
        <w:tc>
          <w:tcPr>
            <w:tcW w:w="4297" w:type="dxa"/>
          </w:tcPr>
          <w:p w14:paraId="233C3CE2" w14:textId="77777777" w:rsidR="0018024E" w:rsidRPr="0018024E" w:rsidRDefault="0018024E" w:rsidP="0018024E">
            <w:pPr>
              <w:jc w:val="both"/>
              <w:rPr>
                <w:rFonts w:ascii="Arial" w:hAnsi="Arial" w:cs="Arial"/>
                <w:b/>
                <w:bCs/>
              </w:rPr>
            </w:pPr>
            <w:r w:rsidRPr="0018024E">
              <w:rPr>
                <w:rFonts w:ascii="Arial" w:hAnsi="Arial" w:cs="Arial"/>
                <w:b/>
                <w:bCs/>
              </w:rPr>
              <w:t>Descripción metodológica.</w:t>
            </w:r>
          </w:p>
        </w:tc>
      </w:tr>
      <w:tr w:rsidR="0018024E" w:rsidRPr="0018024E" w14:paraId="455B8B4A" w14:textId="77777777" w:rsidTr="00F85AE2">
        <w:tc>
          <w:tcPr>
            <w:tcW w:w="2405" w:type="dxa"/>
          </w:tcPr>
          <w:p w14:paraId="4FD0D2E5" w14:textId="77777777" w:rsidR="0018024E" w:rsidRPr="0018024E" w:rsidRDefault="0018024E" w:rsidP="0018024E">
            <w:pPr>
              <w:jc w:val="both"/>
              <w:rPr>
                <w:rFonts w:ascii="Arial" w:hAnsi="Arial" w:cs="Arial"/>
              </w:rPr>
            </w:pPr>
            <w:r w:rsidRPr="0018024E">
              <w:rPr>
                <w:rFonts w:ascii="Arial" w:hAnsi="Arial" w:cs="Arial"/>
              </w:rPr>
              <w:t>Costos de retraso transporte de gas por ductos (Paros socioambientales, consultas previas, cambios normativos, licenciamiento ambiental)</w:t>
            </w:r>
          </w:p>
        </w:tc>
        <w:tc>
          <w:tcPr>
            <w:tcW w:w="2126" w:type="dxa"/>
          </w:tcPr>
          <w:p w14:paraId="193788D0" w14:textId="77777777" w:rsidR="0018024E" w:rsidRPr="0018024E" w:rsidRDefault="0018024E" w:rsidP="0018024E">
            <w:pPr>
              <w:jc w:val="both"/>
              <w:rPr>
                <w:rFonts w:ascii="Arial" w:hAnsi="Arial" w:cs="Arial"/>
              </w:rPr>
            </w:pPr>
            <w:r w:rsidRPr="0018024E">
              <w:rPr>
                <w:rFonts w:ascii="Arial" w:hAnsi="Arial" w:cs="Arial"/>
              </w:rPr>
              <w:t>Costo</w:t>
            </w:r>
          </w:p>
        </w:tc>
        <w:tc>
          <w:tcPr>
            <w:tcW w:w="4297" w:type="dxa"/>
          </w:tcPr>
          <w:p w14:paraId="02886371" w14:textId="77777777" w:rsidR="0018024E" w:rsidRPr="0018024E" w:rsidRDefault="0018024E" w:rsidP="0018024E">
            <w:pPr>
              <w:jc w:val="both"/>
              <w:rPr>
                <w:rFonts w:ascii="Arial" w:hAnsi="Arial" w:cs="Arial"/>
              </w:rPr>
            </w:pPr>
            <w:r w:rsidRPr="0018024E">
              <w:rPr>
                <w:rFonts w:ascii="Arial" w:hAnsi="Arial" w:cs="Arial"/>
              </w:rPr>
              <w:t>Costos de retraso en producción PLANIIN (Consultoría 2017)</w:t>
            </w:r>
          </w:p>
        </w:tc>
      </w:tr>
      <w:tr w:rsidR="0018024E" w:rsidRPr="0018024E" w14:paraId="0A531B3E" w14:textId="77777777" w:rsidTr="00F85AE2">
        <w:tc>
          <w:tcPr>
            <w:tcW w:w="2405" w:type="dxa"/>
          </w:tcPr>
          <w:p w14:paraId="63FB7A4A" w14:textId="77777777" w:rsidR="0018024E" w:rsidRPr="0018024E" w:rsidRDefault="0018024E" w:rsidP="0018024E">
            <w:pPr>
              <w:jc w:val="both"/>
              <w:rPr>
                <w:rFonts w:ascii="Arial" w:hAnsi="Arial" w:cs="Arial"/>
              </w:rPr>
            </w:pPr>
            <w:r w:rsidRPr="0018024E">
              <w:rPr>
                <w:rFonts w:ascii="Arial" w:hAnsi="Arial" w:cs="Arial"/>
              </w:rPr>
              <w:t>Degradación del suelo por erosión</w:t>
            </w:r>
          </w:p>
        </w:tc>
        <w:tc>
          <w:tcPr>
            <w:tcW w:w="2126" w:type="dxa"/>
          </w:tcPr>
          <w:p w14:paraId="418F42A6" w14:textId="77777777" w:rsidR="0018024E" w:rsidRPr="0018024E" w:rsidRDefault="0018024E" w:rsidP="0018024E">
            <w:pPr>
              <w:jc w:val="both"/>
              <w:rPr>
                <w:rFonts w:ascii="Arial" w:hAnsi="Arial" w:cs="Arial"/>
              </w:rPr>
            </w:pPr>
            <w:r w:rsidRPr="0018024E">
              <w:rPr>
                <w:rFonts w:ascii="Arial" w:hAnsi="Arial" w:cs="Arial"/>
              </w:rPr>
              <w:t>Costo</w:t>
            </w:r>
          </w:p>
        </w:tc>
        <w:tc>
          <w:tcPr>
            <w:tcW w:w="4297" w:type="dxa"/>
          </w:tcPr>
          <w:p w14:paraId="2FFCA502" w14:textId="77777777" w:rsidR="0018024E" w:rsidRPr="0018024E" w:rsidRDefault="0018024E" w:rsidP="0018024E">
            <w:pPr>
              <w:jc w:val="both"/>
              <w:rPr>
                <w:rFonts w:ascii="Arial" w:hAnsi="Arial" w:cs="Arial"/>
              </w:rPr>
            </w:pPr>
            <w:r w:rsidRPr="0018024E">
              <w:rPr>
                <w:rFonts w:ascii="Arial" w:hAnsi="Arial" w:cs="Arial"/>
              </w:rPr>
              <w:t xml:space="preserve">Se monetiza según 5 categorías de erosión (Costanza, R., de Groot, R., Sutton, P., van </w:t>
            </w:r>
            <w:proofErr w:type="spellStart"/>
            <w:r w:rsidRPr="0018024E">
              <w:rPr>
                <w:rFonts w:ascii="Arial" w:hAnsi="Arial" w:cs="Arial"/>
              </w:rPr>
              <w:t>der</w:t>
            </w:r>
            <w:proofErr w:type="spellEnd"/>
            <w:r w:rsidRPr="0018024E">
              <w:rPr>
                <w:rFonts w:ascii="Arial" w:hAnsi="Arial" w:cs="Arial"/>
              </w:rPr>
              <w:t xml:space="preserve"> </w:t>
            </w:r>
            <w:proofErr w:type="spellStart"/>
            <w:r w:rsidRPr="0018024E">
              <w:rPr>
                <w:rFonts w:ascii="Arial" w:hAnsi="Arial" w:cs="Arial"/>
              </w:rPr>
              <w:t>Ploeg</w:t>
            </w:r>
            <w:proofErr w:type="spellEnd"/>
            <w:r w:rsidRPr="0018024E">
              <w:rPr>
                <w:rFonts w:ascii="Arial" w:hAnsi="Arial" w:cs="Arial"/>
              </w:rPr>
              <w:t xml:space="preserve">, S., Anderson, S. J., </w:t>
            </w:r>
            <w:proofErr w:type="spellStart"/>
            <w:r w:rsidRPr="0018024E">
              <w:rPr>
                <w:rFonts w:ascii="Arial" w:hAnsi="Arial" w:cs="Arial"/>
              </w:rPr>
              <w:t>Kubiszewski</w:t>
            </w:r>
            <w:proofErr w:type="spellEnd"/>
            <w:r w:rsidRPr="0018024E">
              <w:rPr>
                <w:rFonts w:ascii="Arial" w:hAnsi="Arial" w:cs="Arial"/>
              </w:rPr>
              <w:t>, I., Farber, S., &amp; Turner, R. K. (2014). (Viable 2021)</w:t>
            </w:r>
          </w:p>
        </w:tc>
      </w:tr>
      <w:tr w:rsidR="0018024E" w:rsidRPr="0018024E" w14:paraId="140F1C29" w14:textId="77777777" w:rsidTr="00F85AE2">
        <w:tc>
          <w:tcPr>
            <w:tcW w:w="2405" w:type="dxa"/>
          </w:tcPr>
          <w:p w14:paraId="3148C103" w14:textId="77777777" w:rsidR="0018024E" w:rsidRPr="0018024E" w:rsidRDefault="0018024E" w:rsidP="0018024E">
            <w:pPr>
              <w:jc w:val="both"/>
              <w:rPr>
                <w:rFonts w:ascii="Arial" w:hAnsi="Arial" w:cs="Arial"/>
              </w:rPr>
            </w:pPr>
            <w:r w:rsidRPr="0018024E">
              <w:rPr>
                <w:rFonts w:ascii="Arial" w:hAnsi="Arial" w:cs="Arial"/>
              </w:rPr>
              <w:t>Amenaza por remoción en masa</w:t>
            </w:r>
          </w:p>
        </w:tc>
        <w:tc>
          <w:tcPr>
            <w:tcW w:w="2126" w:type="dxa"/>
          </w:tcPr>
          <w:p w14:paraId="4F215F5D" w14:textId="77777777" w:rsidR="0018024E" w:rsidRPr="0018024E" w:rsidRDefault="0018024E" w:rsidP="0018024E">
            <w:pPr>
              <w:jc w:val="both"/>
              <w:rPr>
                <w:rFonts w:ascii="Arial" w:hAnsi="Arial" w:cs="Arial"/>
              </w:rPr>
            </w:pPr>
            <w:r w:rsidRPr="0018024E">
              <w:rPr>
                <w:rFonts w:ascii="Arial" w:hAnsi="Arial" w:cs="Arial"/>
              </w:rPr>
              <w:t>Costo</w:t>
            </w:r>
          </w:p>
        </w:tc>
        <w:tc>
          <w:tcPr>
            <w:tcW w:w="4297" w:type="dxa"/>
          </w:tcPr>
          <w:p w14:paraId="4E54535E" w14:textId="77777777" w:rsidR="0018024E" w:rsidRPr="0018024E" w:rsidRDefault="0018024E" w:rsidP="0018024E">
            <w:pPr>
              <w:jc w:val="both"/>
              <w:rPr>
                <w:rFonts w:ascii="Arial" w:hAnsi="Arial" w:cs="Arial"/>
              </w:rPr>
            </w:pPr>
            <w:r w:rsidRPr="0018024E">
              <w:rPr>
                <w:rFonts w:ascii="Arial" w:hAnsi="Arial" w:cs="Arial"/>
              </w:rPr>
              <w:t>Se monetiza según 4 categorías por remoción en masa Sistema Geológico Colombiano (SGC) (2021) ). (Viable 2021)</w:t>
            </w:r>
          </w:p>
        </w:tc>
      </w:tr>
      <w:tr w:rsidR="0018024E" w:rsidRPr="0018024E" w14:paraId="725FEAB5" w14:textId="77777777" w:rsidTr="00F85AE2">
        <w:tc>
          <w:tcPr>
            <w:tcW w:w="2405" w:type="dxa"/>
          </w:tcPr>
          <w:p w14:paraId="22B810A9" w14:textId="77777777" w:rsidR="0018024E" w:rsidRPr="0018024E" w:rsidRDefault="0018024E" w:rsidP="0018024E">
            <w:pPr>
              <w:jc w:val="both"/>
              <w:rPr>
                <w:rFonts w:ascii="Arial" w:hAnsi="Arial" w:cs="Arial"/>
              </w:rPr>
            </w:pPr>
            <w:r w:rsidRPr="0018024E">
              <w:rPr>
                <w:rFonts w:ascii="Arial" w:hAnsi="Arial" w:cs="Arial"/>
              </w:rPr>
              <w:t>Índice de pobreza multidimensional</w:t>
            </w:r>
          </w:p>
        </w:tc>
        <w:tc>
          <w:tcPr>
            <w:tcW w:w="2126" w:type="dxa"/>
          </w:tcPr>
          <w:p w14:paraId="0A63ECFA" w14:textId="77777777" w:rsidR="0018024E" w:rsidRPr="0018024E" w:rsidRDefault="0018024E" w:rsidP="0018024E">
            <w:pPr>
              <w:jc w:val="both"/>
              <w:rPr>
                <w:rFonts w:ascii="Arial" w:hAnsi="Arial" w:cs="Arial"/>
              </w:rPr>
            </w:pPr>
            <w:r w:rsidRPr="0018024E">
              <w:rPr>
                <w:rFonts w:ascii="Arial" w:hAnsi="Arial" w:cs="Arial"/>
              </w:rPr>
              <w:t>Costo</w:t>
            </w:r>
          </w:p>
        </w:tc>
        <w:tc>
          <w:tcPr>
            <w:tcW w:w="4297" w:type="dxa"/>
          </w:tcPr>
          <w:p w14:paraId="3686F489" w14:textId="77777777" w:rsidR="0018024E" w:rsidRPr="0018024E" w:rsidRDefault="0018024E" w:rsidP="0018024E">
            <w:pPr>
              <w:jc w:val="both"/>
              <w:rPr>
                <w:rFonts w:ascii="Arial" w:hAnsi="Arial" w:cs="Arial"/>
              </w:rPr>
            </w:pPr>
            <w:r w:rsidRPr="0018024E">
              <w:rPr>
                <w:rFonts w:ascii="Arial" w:hAnsi="Arial" w:cs="Arial"/>
              </w:rPr>
              <w:t>Se utiliza la metodología de la herramienta de la UPME (2021)</w:t>
            </w:r>
          </w:p>
        </w:tc>
      </w:tr>
      <w:tr w:rsidR="0018024E" w:rsidRPr="0018024E" w14:paraId="67330B7A" w14:textId="77777777" w:rsidTr="00F85AE2">
        <w:tc>
          <w:tcPr>
            <w:tcW w:w="2405" w:type="dxa"/>
          </w:tcPr>
          <w:p w14:paraId="64BC11C5" w14:textId="77777777" w:rsidR="0018024E" w:rsidRPr="0018024E" w:rsidRDefault="0018024E" w:rsidP="0018024E">
            <w:pPr>
              <w:jc w:val="both"/>
              <w:rPr>
                <w:rFonts w:ascii="Arial" w:hAnsi="Arial" w:cs="Arial"/>
              </w:rPr>
            </w:pPr>
            <w:r w:rsidRPr="0018024E">
              <w:rPr>
                <w:rFonts w:ascii="Arial" w:hAnsi="Arial" w:cs="Arial"/>
              </w:rPr>
              <w:t>Presencia de comunidades étnicas</w:t>
            </w:r>
          </w:p>
        </w:tc>
        <w:tc>
          <w:tcPr>
            <w:tcW w:w="2126" w:type="dxa"/>
          </w:tcPr>
          <w:p w14:paraId="1E02A1B0" w14:textId="77777777" w:rsidR="0018024E" w:rsidRPr="0018024E" w:rsidRDefault="0018024E" w:rsidP="0018024E">
            <w:pPr>
              <w:jc w:val="both"/>
              <w:rPr>
                <w:rFonts w:ascii="Arial" w:hAnsi="Arial" w:cs="Arial"/>
              </w:rPr>
            </w:pPr>
            <w:r w:rsidRPr="0018024E">
              <w:rPr>
                <w:rFonts w:ascii="Arial" w:hAnsi="Arial" w:cs="Arial"/>
              </w:rPr>
              <w:t>Costo</w:t>
            </w:r>
          </w:p>
        </w:tc>
        <w:tc>
          <w:tcPr>
            <w:tcW w:w="4297" w:type="dxa"/>
          </w:tcPr>
          <w:p w14:paraId="66019EB9" w14:textId="77777777" w:rsidR="0018024E" w:rsidRPr="0018024E" w:rsidRDefault="0018024E" w:rsidP="0018024E">
            <w:pPr>
              <w:jc w:val="both"/>
              <w:rPr>
                <w:rFonts w:ascii="Arial" w:hAnsi="Arial" w:cs="Arial"/>
              </w:rPr>
            </w:pPr>
            <w:r w:rsidRPr="0018024E">
              <w:rPr>
                <w:rFonts w:ascii="Arial" w:hAnsi="Arial" w:cs="Arial"/>
              </w:rPr>
              <w:t>Se utiliza la metodología de la herramienta de la UPME (2021)</w:t>
            </w:r>
          </w:p>
        </w:tc>
      </w:tr>
      <w:tr w:rsidR="0018024E" w:rsidRPr="0018024E" w14:paraId="09346A46" w14:textId="77777777" w:rsidTr="00F85AE2">
        <w:tc>
          <w:tcPr>
            <w:tcW w:w="2405" w:type="dxa"/>
          </w:tcPr>
          <w:p w14:paraId="2C4C3338" w14:textId="77777777" w:rsidR="0018024E" w:rsidRPr="0018024E" w:rsidRDefault="0018024E" w:rsidP="0018024E">
            <w:pPr>
              <w:jc w:val="both"/>
              <w:rPr>
                <w:rFonts w:ascii="Arial" w:hAnsi="Arial" w:cs="Arial"/>
              </w:rPr>
            </w:pPr>
            <w:r w:rsidRPr="0018024E">
              <w:rPr>
                <w:rFonts w:ascii="Arial" w:hAnsi="Arial" w:cs="Arial"/>
              </w:rPr>
              <w:t>Índice de sostenibilidad de patrimonio cultural</w:t>
            </w:r>
          </w:p>
        </w:tc>
        <w:tc>
          <w:tcPr>
            <w:tcW w:w="2126" w:type="dxa"/>
          </w:tcPr>
          <w:p w14:paraId="0255B467" w14:textId="77777777" w:rsidR="0018024E" w:rsidRPr="0018024E" w:rsidRDefault="0018024E" w:rsidP="0018024E">
            <w:pPr>
              <w:jc w:val="both"/>
              <w:rPr>
                <w:rFonts w:ascii="Arial" w:hAnsi="Arial" w:cs="Arial"/>
              </w:rPr>
            </w:pPr>
            <w:r w:rsidRPr="0018024E">
              <w:rPr>
                <w:rFonts w:ascii="Arial" w:hAnsi="Arial" w:cs="Arial"/>
              </w:rPr>
              <w:t>Costo</w:t>
            </w:r>
          </w:p>
        </w:tc>
        <w:tc>
          <w:tcPr>
            <w:tcW w:w="4297" w:type="dxa"/>
          </w:tcPr>
          <w:p w14:paraId="2CF68AB7" w14:textId="77777777" w:rsidR="0018024E" w:rsidRPr="0018024E" w:rsidRDefault="0018024E" w:rsidP="0018024E">
            <w:pPr>
              <w:jc w:val="both"/>
              <w:rPr>
                <w:rFonts w:ascii="Arial" w:hAnsi="Arial" w:cs="Arial"/>
              </w:rPr>
            </w:pPr>
            <w:r w:rsidRPr="0018024E">
              <w:rPr>
                <w:rFonts w:ascii="Arial" w:hAnsi="Arial" w:cs="Arial"/>
              </w:rPr>
              <w:t>Se utiliza la metodología de la herramienta de la UPME (2021)</w:t>
            </w:r>
          </w:p>
        </w:tc>
      </w:tr>
      <w:tr w:rsidR="0018024E" w:rsidRPr="0018024E" w14:paraId="3E30857D" w14:textId="77777777" w:rsidTr="00F85AE2">
        <w:tc>
          <w:tcPr>
            <w:tcW w:w="2405" w:type="dxa"/>
          </w:tcPr>
          <w:p w14:paraId="3ADDB71A" w14:textId="77777777" w:rsidR="0018024E" w:rsidRPr="0018024E" w:rsidRDefault="0018024E" w:rsidP="0018024E">
            <w:pPr>
              <w:jc w:val="both"/>
              <w:rPr>
                <w:rFonts w:ascii="Arial" w:hAnsi="Arial" w:cs="Arial"/>
              </w:rPr>
            </w:pPr>
            <w:r w:rsidRPr="0018024E">
              <w:rPr>
                <w:rFonts w:ascii="Arial" w:hAnsi="Arial" w:cs="Arial"/>
              </w:rPr>
              <w:t>Empleos generados</w:t>
            </w:r>
          </w:p>
        </w:tc>
        <w:tc>
          <w:tcPr>
            <w:tcW w:w="2126" w:type="dxa"/>
          </w:tcPr>
          <w:p w14:paraId="66C638B5" w14:textId="77777777" w:rsidR="0018024E" w:rsidRPr="0018024E" w:rsidRDefault="0018024E" w:rsidP="0018024E">
            <w:pPr>
              <w:jc w:val="both"/>
              <w:rPr>
                <w:rFonts w:ascii="Arial" w:hAnsi="Arial" w:cs="Arial"/>
              </w:rPr>
            </w:pPr>
            <w:r w:rsidRPr="0018024E">
              <w:rPr>
                <w:rFonts w:ascii="Arial" w:hAnsi="Arial" w:cs="Arial"/>
              </w:rPr>
              <w:t>Beneficio</w:t>
            </w:r>
          </w:p>
        </w:tc>
        <w:tc>
          <w:tcPr>
            <w:tcW w:w="4297" w:type="dxa"/>
          </w:tcPr>
          <w:p w14:paraId="5D7A76E8" w14:textId="77777777" w:rsidR="0018024E" w:rsidRPr="0018024E" w:rsidRDefault="0018024E" w:rsidP="0018024E">
            <w:pPr>
              <w:jc w:val="both"/>
              <w:rPr>
                <w:rFonts w:ascii="Arial" w:hAnsi="Arial" w:cs="Arial"/>
              </w:rPr>
            </w:pPr>
            <w:r w:rsidRPr="0018024E">
              <w:rPr>
                <w:rFonts w:ascii="Arial" w:hAnsi="Arial" w:cs="Arial"/>
              </w:rPr>
              <w:t>Valoración de mercado laboral</w:t>
            </w:r>
          </w:p>
        </w:tc>
      </w:tr>
      <w:tr w:rsidR="0018024E" w:rsidRPr="0018024E" w14:paraId="1FC34622" w14:textId="77777777" w:rsidTr="00F85AE2">
        <w:tc>
          <w:tcPr>
            <w:tcW w:w="2405" w:type="dxa"/>
          </w:tcPr>
          <w:p w14:paraId="667DD2C4" w14:textId="77777777" w:rsidR="0018024E" w:rsidRPr="0018024E" w:rsidRDefault="0018024E" w:rsidP="0018024E">
            <w:pPr>
              <w:jc w:val="both"/>
              <w:rPr>
                <w:rFonts w:ascii="Arial" w:hAnsi="Arial" w:cs="Arial"/>
              </w:rPr>
            </w:pPr>
            <w:r w:rsidRPr="0018024E">
              <w:rPr>
                <w:rFonts w:ascii="Arial" w:hAnsi="Arial" w:cs="Arial"/>
              </w:rPr>
              <w:t>Encadenamiento productivo</w:t>
            </w:r>
          </w:p>
        </w:tc>
        <w:tc>
          <w:tcPr>
            <w:tcW w:w="2126" w:type="dxa"/>
          </w:tcPr>
          <w:p w14:paraId="040B988D" w14:textId="77777777" w:rsidR="0018024E" w:rsidRPr="0018024E" w:rsidRDefault="0018024E" w:rsidP="0018024E">
            <w:pPr>
              <w:jc w:val="both"/>
              <w:rPr>
                <w:rFonts w:ascii="Arial" w:hAnsi="Arial" w:cs="Arial"/>
              </w:rPr>
            </w:pPr>
            <w:r w:rsidRPr="0018024E">
              <w:rPr>
                <w:rFonts w:ascii="Arial" w:hAnsi="Arial" w:cs="Arial"/>
              </w:rPr>
              <w:t>Beneficio</w:t>
            </w:r>
          </w:p>
        </w:tc>
        <w:tc>
          <w:tcPr>
            <w:tcW w:w="4297" w:type="dxa"/>
          </w:tcPr>
          <w:p w14:paraId="4BE8098D" w14:textId="77777777" w:rsidR="0018024E" w:rsidRPr="0018024E" w:rsidRDefault="0018024E" w:rsidP="0018024E">
            <w:pPr>
              <w:jc w:val="both"/>
              <w:rPr>
                <w:rFonts w:ascii="Arial" w:hAnsi="Arial" w:cs="Arial"/>
              </w:rPr>
            </w:pPr>
            <w:r w:rsidRPr="0018024E">
              <w:rPr>
                <w:rFonts w:ascii="Arial" w:hAnsi="Arial" w:cs="Arial"/>
              </w:rPr>
              <w:t>Matriz Insumo Producto Regional BANREP</w:t>
            </w:r>
          </w:p>
        </w:tc>
      </w:tr>
    </w:tbl>
    <w:p w14:paraId="21664D03" w14:textId="77777777" w:rsidR="0018024E" w:rsidRPr="0018024E" w:rsidRDefault="0018024E" w:rsidP="0018024E">
      <w:pPr>
        <w:jc w:val="both"/>
        <w:rPr>
          <w:rFonts w:ascii="Arial" w:hAnsi="Arial" w:cs="Arial"/>
          <w:b/>
          <w:bCs/>
        </w:rPr>
      </w:pPr>
    </w:p>
    <w:p w14:paraId="6CA52A94" w14:textId="77777777" w:rsidR="0018024E" w:rsidRPr="0018024E" w:rsidRDefault="0018024E" w:rsidP="0018024E">
      <w:pPr>
        <w:jc w:val="both"/>
        <w:rPr>
          <w:rFonts w:ascii="Arial" w:hAnsi="Arial" w:cs="Arial"/>
        </w:rPr>
      </w:pPr>
      <w:r w:rsidRPr="0018024E">
        <w:rPr>
          <w:rFonts w:ascii="Arial" w:hAnsi="Arial" w:cs="Arial"/>
        </w:rPr>
        <w:t>A continuación, se hará una breve descripción de las variables y las diferentes metodologías:</w:t>
      </w:r>
    </w:p>
    <w:p w14:paraId="406630B9" w14:textId="2E749717" w:rsidR="0018024E" w:rsidRPr="0018024E" w:rsidRDefault="0018024E" w:rsidP="00A57985">
      <w:pPr>
        <w:pStyle w:val="Ttulo3"/>
        <w:numPr>
          <w:ilvl w:val="0"/>
          <w:numId w:val="28"/>
        </w:numPr>
        <w:jc w:val="both"/>
        <w:rPr>
          <w:rFonts w:ascii="Arial" w:hAnsi="Arial" w:cs="Arial"/>
          <w:bCs/>
          <w:color w:val="2F5496" w:themeColor="accent5" w:themeShade="BF"/>
          <w:sz w:val="22"/>
          <w:szCs w:val="22"/>
        </w:rPr>
      </w:pPr>
      <w:r w:rsidRPr="0018024E">
        <w:rPr>
          <w:rFonts w:ascii="Arial" w:hAnsi="Arial" w:cs="Arial"/>
          <w:b/>
          <w:bCs/>
          <w:color w:val="2F5496" w:themeColor="accent5" w:themeShade="BF"/>
          <w:sz w:val="22"/>
          <w:szCs w:val="22"/>
        </w:rPr>
        <w:t>Costos de retraso de obras (Paros socioambientales, consultas previas, cambios normativos, licenciamiento ambiental)</w:t>
      </w:r>
    </w:p>
    <w:p w14:paraId="2B680F1C" w14:textId="77777777" w:rsidR="0018024E" w:rsidRPr="0018024E" w:rsidRDefault="0018024E" w:rsidP="0018024E">
      <w:pPr>
        <w:jc w:val="both"/>
        <w:rPr>
          <w:rFonts w:ascii="Arial" w:eastAsia="Times New Roman" w:hAnsi="Arial" w:cs="Arial"/>
        </w:rPr>
      </w:pPr>
    </w:p>
    <w:p w14:paraId="52188035" w14:textId="77777777" w:rsidR="0018024E" w:rsidRPr="0018024E" w:rsidRDefault="0018024E" w:rsidP="0018024E">
      <w:pPr>
        <w:jc w:val="both"/>
        <w:rPr>
          <w:rFonts w:ascii="Arial" w:eastAsia="Times New Roman" w:hAnsi="Arial" w:cs="Arial"/>
        </w:rPr>
      </w:pPr>
      <w:r w:rsidRPr="0018024E">
        <w:rPr>
          <w:rFonts w:ascii="Arial" w:eastAsia="Times New Roman" w:hAnsi="Arial" w:cs="Arial"/>
        </w:rPr>
        <w:t>Siguiendo los parámetros de la consultoría 004 de 2017</w:t>
      </w:r>
      <w:r w:rsidRPr="0018024E">
        <w:rPr>
          <w:rStyle w:val="Refdenotaalpie"/>
          <w:rFonts w:ascii="Arial" w:eastAsia="Times New Roman" w:hAnsi="Arial" w:cs="Arial"/>
        </w:rPr>
        <w:footnoteReference w:id="1"/>
      </w:r>
      <w:r w:rsidRPr="0018024E">
        <w:rPr>
          <w:rFonts w:ascii="Arial" w:eastAsia="Times New Roman" w:hAnsi="Arial" w:cs="Arial"/>
        </w:rPr>
        <w:t xml:space="preserve"> se adaptan y actualizan los cálculos para estimar los costos de oportunidad a 2023 por demoras en la entrada en </w:t>
      </w:r>
      <w:r w:rsidRPr="0018024E">
        <w:rPr>
          <w:rFonts w:ascii="Arial" w:eastAsia="Times New Roman" w:hAnsi="Arial" w:cs="Arial"/>
        </w:rPr>
        <w:lastRenderedPageBreak/>
        <w:t xml:space="preserve">operación de la infraestructura de transporte de hidrocarburos, en este caso en particular se plantea las estimaciones del costo de oportunidad por los retrasos en la puesta en marcha de la infraestructura de gas (nuevos ductos). </w:t>
      </w:r>
    </w:p>
    <w:p w14:paraId="17791B7C" w14:textId="77777777" w:rsidR="0018024E" w:rsidRPr="0018024E" w:rsidRDefault="0018024E" w:rsidP="0018024E">
      <w:pPr>
        <w:jc w:val="both"/>
        <w:rPr>
          <w:rFonts w:ascii="Arial" w:eastAsia="Times New Roman" w:hAnsi="Arial" w:cs="Arial"/>
        </w:rPr>
      </w:pPr>
      <w:r w:rsidRPr="0018024E">
        <w:rPr>
          <w:rFonts w:ascii="Arial" w:eastAsia="Times New Roman" w:hAnsi="Arial" w:cs="Arial"/>
        </w:rPr>
        <w:t>Se entienden como costos de oportunidad los retrasos en la entrada en operación de la infraestructura de transporte de hidrocarburos, particularmente en gas; como el costo generado por las demoras en la entrada en operación de la infraestructura de transporte de hidrocarburos que corresponde a los recursos monetarios, pero que se hubieran destinado a actividades económicas que benefician al país (mejor uso alternativo de los recursos) si no se hubiesen registrado dichos retrasos.</w:t>
      </w:r>
    </w:p>
    <w:p w14:paraId="155BAB0E" w14:textId="77777777" w:rsidR="0018024E" w:rsidRPr="0018024E" w:rsidRDefault="0018024E" w:rsidP="0018024E">
      <w:pPr>
        <w:jc w:val="both"/>
        <w:rPr>
          <w:rFonts w:ascii="Arial" w:eastAsia="Times New Roman" w:hAnsi="Arial" w:cs="Arial"/>
        </w:rPr>
      </w:pPr>
      <w:r w:rsidRPr="0018024E">
        <w:rPr>
          <w:rFonts w:ascii="Arial" w:eastAsia="Times New Roman" w:hAnsi="Arial" w:cs="Arial"/>
        </w:rPr>
        <w:t>El costo de oportunidad se estima como la diferencia entre el VPN del valor agregado bruto generado en el escenario de expansión Business as Usual BAU de transporte de gas, menos el VPN de valor agregado bruto generado en el escenario de expansión BAU de transporte de gas cuando ocurre una demora en la entrada en operación de la infraestructura de transporte (nuevos ductos) en cada uno de los escenarios de demora.</w:t>
      </w:r>
    </w:p>
    <w:p w14:paraId="2944E203" w14:textId="77777777" w:rsidR="0018024E" w:rsidRPr="0018024E" w:rsidRDefault="0018024E" w:rsidP="0018024E">
      <w:pPr>
        <w:jc w:val="both"/>
        <w:rPr>
          <w:rFonts w:ascii="Arial" w:hAnsi="Arial" w:cs="Arial"/>
        </w:rPr>
      </w:pPr>
      <w:r w:rsidRPr="0018024E">
        <w:rPr>
          <w:rFonts w:ascii="Arial" w:eastAsia="Times New Roman" w:hAnsi="Arial" w:cs="Arial"/>
        </w:rPr>
        <w:t xml:space="preserve">En el </w:t>
      </w:r>
      <w:r w:rsidRPr="0018024E">
        <w:rPr>
          <w:rFonts w:ascii="Arial" w:eastAsia="Times New Roman" w:hAnsi="Arial" w:cs="Arial"/>
          <w:i/>
          <w:iCs/>
        </w:rPr>
        <w:t>método de cálculo</w:t>
      </w:r>
      <w:r w:rsidRPr="0018024E">
        <w:rPr>
          <w:rFonts w:ascii="Arial" w:eastAsia="Times New Roman" w:hAnsi="Arial" w:cs="Arial"/>
        </w:rPr>
        <w:t xml:space="preserve"> el gas se transporta tradicionalmente por ductos. Se parte del supuesto de que no se tiene la posibilidad de utilizar los carrotanques</w:t>
      </w:r>
      <w:r w:rsidRPr="0018024E">
        <w:rPr>
          <w:rStyle w:val="Refdenotaalpie"/>
          <w:rFonts w:ascii="Arial" w:eastAsia="Times New Roman" w:hAnsi="Arial" w:cs="Arial"/>
        </w:rPr>
        <w:footnoteReference w:id="2"/>
      </w:r>
      <w:r w:rsidRPr="0018024E">
        <w:rPr>
          <w:rFonts w:ascii="Arial" w:eastAsia="Times New Roman" w:hAnsi="Arial" w:cs="Arial"/>
        </w:rPr>
        <w:t xml:space="preserve">. </w:t>
      </w:r>
      <w:r w:rsidRPr="0018024E">
        <w:rPr>
          <w:rFonts w:ascii="Arial" w:hAnsi="Arial" w:cs="Arial"/>
        </w:rPr>
        <w:t>De esta manera, el costo de oportunidad por demoras en el transporte de gas es igual a:</w:t>
      </w:r>
    </w:p>
    <w:p w14:paraId="529F547F" w14:textId="77777777" w:rsidR="0018024E" w:rsidRPr="0018024E" w:rsidRDefault="0018024E" w:rsidP="0018024E">
      <w:pPr>
        <w:jc w:val="both"/>
        <w:rPr>
          <w:rFonts w:ascii="Arial" w:eastAsia="Times New Roman" w:hAnsi="Arial" w:cs="Arial"/>
        </w:rPr>
      </w:pPr>
    </w:p>
    <w:p w14:paraId="457969F2" w14:textId="77777777" w:rsidR="0018024E" w:rsidRPr="0018024E" w:rsidRDefault="0018024E" w:rsidP="0018024E">
      <w:pPr>
        <w:jc w:val="both"/>
        <w:rPr>
          <w:rFonts w:ascii="Arial" w:hAnsi="Arial" w:cs="Arial"/>
        </w:rPr>
      </w:pPr>
      <m:oMathPara>
        <m:oMath>
          <m:r>
            <w:rPr>
              <w:rFonts w:ascii="Cambria Math" w:hAnsi="Cambria Math" w:cs="Arial"/>
            </w:rPr>
            <m:t>COi,j=VPN(VAB)-VPN(VABi,)</m:t>
          </m:r>
        </m:oMath>
      </m:oMathPara>
    </w:p>
    <w:p w14:paraId="5DE252A3" w14:textId="77777777" w:rsidR="0018024E" w:rsidRPr="0018024E" w:rsidRDefault="0018024E" w:rsidP="0018024E">
      <w:pPr>
        <w:jc w:val="both"/>
        <w:rPr>
          <w:rFonts w:ascii="Arial" w:hAnsi="Arial" w:cs="Arial"/>
        </w:rPr>
      </w:pPr>
    </w:p>
    <w:p w14:paraId="4E891C5E" w14:textId="77777777" w:rsidR="0018024E" w:rsidRPr="0018024E" w:rsidRDefault="0018024E" w:rsidP="0018024E">
      <w:pPr>
        <w:jc w:val="both"/>
        <w:rPr>
          <w:rFonts w:ascii="Arial" w:hAnsi="Arial" w:cs="Arial"/>
        </w:rPr>
      </w:pPr>
      <w:r w:rsidRPr="0018024E">
        <w:rPr>
          <w:rFonts w:ascii="Arial" w:hAnsi="Arial" w:cs="Arial"/>
        </w:rPr>
        <w:t>Donde:</w:t>
      </w:r>
    </w:p>
    <w:p w14:paraId="7D12243A" w14:textId="77777777" w:rsidR="0018024E" w:rsidRPr="0018024E" w:rsidRDefault="0018024E" w:rsidP="0018024E">
      <w:pPr>
        <w:jc w:val="both"/>
        <w:rPr>
          <w:rFonts w:ascii="Arial" w:hAnsi="Arial" w:cs="Arial"/>
        </w:rPr>
      </w:pPr>
    </w:p>
    <w:p w14:paraId="3C04BC5B" w14:textId="77777777" w:rsidR="0018024E" w:rsidRPr="0018024E" w:rsidRDefault="0018024E" w:rsidP="0018024E">
      <w:pPr>
        <w:jc w:val="both"/>
        <w:rPr>
          <w:rFonts w:ascii="Arial" w:hAnsi="Arial" w:cs="Arial"/>
        </w:rPr>
      </w:pPr>
      <m:oMath>
        <m:r>
          <w:rPr>
            <w:rFonts w:ascii="Cambria Math" w:hAnsi="Cambria Math" w:cs="Arial"/>
          </w:rPr>
          <m:t>COi,j:</m:t>
        </m:r>
      </m:oMath>
      <w:r w:rsidRPr="0018024E">
        <w:rPr>
          <w:rFonts w:ascii="Arial" w:hAnsi="Arial" w:cs="Arial"/>
        </w:rPr>
        <w:t xml:space="preserve"> es el costo de oportunidad en que incurre el país en el escenario de expansión BAU de transporte de gas cuando ocurre un retraso en la entrada en operación de la infraestructura de transporte (nuevos ductos) por la causa i.</w:t>
      </w:r>
    </w:p>
    <w:p w14:paraId="45B6E5D9" w14:textId="77777777" w:rsidR="0018024E" w:rsidRPr="0018024E" w:rsidRDefault="0018024E" w:rsidP="0018024E">
      <w:pPr>
        <w:jc w:val="both"/>
        <w:rPr>
          <w:rFonts w:ascii="Arial" w:hAnsi="Arial" w:cs="Arial"/>
        </w:rPr>
      </w:pPr>
      <m:oMath>
        <m:r>
          <w:rPr>
            <w:rFonts w:ascii="Cambria Math" w:hAnsi="Cambria Math" w:cs="Arial"/>
          </w:rPr>
          <m:t>i:</m:t>
        </m:r>
      </m:oMath>
      <w:r w:rsidRPr="0018024E">
        <w:rPr>
          <w:rFonts w:ascii="Arial" w:hAnsi="Arial" w:cs="Arial"/>
        </w:rPr>
        <w:t xml:space="preserve"> es la causa de la demora en la entrada en operación de la infraestructura de transporte de gas (i = i = diagnóstico ambiental, licenciamiento ambiental, sustracción de reservas ambientales, proceso de manejo arqueológico, realización de consultas previas, paros y modificaciones regulatorias).</w:t>
      </w:r>
    </w:p>
    <w:p w14:paraId="529469EF" w14:textId="77777777" w:rsidR="0018024E" w:rsidRPr="0018024E" w:rsidRDefault="0018024E" w:rsidP="0018024E">
      <w:pPr>
        <w:jc w:val="both"/>
        <w:rPr>
          <w:rFonts w:ascii="Arial" w:hAnsi="Arial" w:cs="Arial"/>
        </w:rPr>
      </w:pPr>
      <m:oMath>
        <m:r>
          <w:rPr>
            <w:rFonts w:ascii="Cambria Math" w:hAnsi="Cambria Math" w:cs="Arial"/>
          </w:rPr>
          <m:t>j:</m:t>
        </m:r>
      </m:oMath>
      <w:r w:rsidRPr="0018024E">
        <w:rPr>
          <w:rFonts w:ascii="Arial" w:hAnsi="Arial" w:cs="Arial"/>
        </w:rPr>
        <w:t xml:space="preserve"> gas.</w:t>
      </w:r>
    </w:p>
    <w:p w14:paraId="774BD9B3" w14:textId="77777777" w:rsidR="0018024E" w:rsidRPr="0018024E" w:rsidRDefault="0018024E" w:rsidP="0018024E">
      <w:pPr>
        <w:jc w:val="both"/>
        <w:rPr>
          <w:rFonts w:ascii="Arial" w:hAnsi="Arial" w:cs="Arial"/>
        </w:rPr>
      </w:pPr>
      <m:oMath>
        <m:r>
          <w:rPr>
            <w:rFonts w:ascii="Cambria Math" w:hAnsi="Cambria Math" w:cs="Arial"/>
          </w:rPr>
          <m:t>VPN(VAB):</m:t>
        </m:r>
      </m:oMath>
      <w:r w:rsidRPr="0018024E">
        <w:rPr>
          <w:rFonts w:ascii="Arial" w:hAnsi="Arial" w:cs="Arial"/>
        </w:rPr>
        <w:t xml:space="preserve"> es el VPN de valor agregado bruto generado en el escenario de expansión BAU de transporte de gas.</w:t>
      </w:r>
    </w:p>
    <w:p w14:paraId="6FA51394" w14:textId="77777777" w:rsidR="0018024E" w:rsidRPr="0018024E" w:rsidRDefault="0018024E" w:rsidP="0018024E">
      <w:pPr>
        <w:jc w:val="both"/>
        <w:rPr>
          <w:rFonts w:ascii="Arial" w:hAnsi="Arial" w:cs="Arial"/>
        </w:rPr>
      </w:pPr>
      <w:r w:rsidRPr="0018024E">
        <w:rPr>
          <w:rFonts w:ascii="Cambria Math" w:hAnsi="Cambria Math" w:cs="Cambria Math"/>
        </w:rPr>
        <w:t>𝑉𝑃𝑁</w:t>
      </w:r>
      <w:r w:rsidRPr="0018024E">
        <w:rPr>
          <w:rFonts w:ascii="Arial" w:hAnsi="Arial" w:cs="Arial"/>
        </w:rPr>
        <w:t>(</w:t>
      </w:r>
      <w:r w:rsidRPr="0018024E">
        <w:rPr>
          <w:rFonts w:ascii="Cambria Math" w:hAnsi="Cambria Math" w:cs="Cambria Math"/>
        </w:rPr>
        <w:t>𝑉𝐴𝐵𝑖</w:t>
      </w:r>
      <w:r w:rsidRPr="0018024E">
        <w:rPr>
          <w:rFonts w:ascii="Arial" w:hAnsi="Arial" w:cs="Arial"/>
        </w:rPr>
        <w:t>,): es el VPN de valor agregado bruto generado en el escenario de expansión BAU de transporte de gas cuando ocurre una demora en la entrada en operación de la infraestructura de transporte por la causa i</w:t>
      </w:r>
    </w:p>
    <w:p w14:paraId="2AED0B27" w14:textId="77777777" w:rsidR="0018024E" w:rsidRPr="0018024E" w:rsidRDefault="0018024E" w:rsidP="0018024E">
      <w:pPr>
        <w:jc w:val="both"/>
        <w:rPr>
          <w:rFonts w:ascii="Arial" w:eastAsia="Times New Roman" w:hAnsi="Arial" w:cs="Arial"/>
        </w:rPr>
      </w:pPr>
    </w:p>
    <w:p w14:paraId="62D1B0B5" w14:textId="77777777" w:rsidR="0018024E" w:rsidRPr="0018024E" w:rsidRDefault="0018024E" w:rsidP="0018024E">
      <w:pPr>
        <w:jc w:val="both"/>
        <w:rPr>
          <w:rFonts w:ascii="Arial" w:eastAsia="Times New Roman" w:hAnsi="Arial" w:cs="Arial"/>
        </w:rPr>
      </w:pPr>
      <w:r w:rsidRPr="0018024E">
        <w:rPr>
          <w:rFonts w:ascii="Arial" w:eastAsia="Times New Roman" w:hAnsi="Arial" w:cs="Arial"/>
        </w:rPr>
        <w:t xml:space="preserve">Los escenarios de retrasos a considerar son seis, i. Demoras en la obtención de licencias ambientales, i. Retrasos en el trámite de sustracción de reserva, </w:t>
      </w:r>
      <w:proofErr w:type="spellStart"/>
      <w:r w:rsidRPr="0018024E">
        <w:rPr>
          <w:rFonts w:ascii="Arial" w:eastAsia="Times New Roman" w:hAnsi="Arial" w:cs="Arial"/>
        </w:rPr>
        <w:t>iii</w:t>
      </w:r>
      <w:proofErr w:type="spellEnd"/>
      <w:r w:rsidRPr="0018024E">
        <w:rPr>
          <w:rFonts w:ascii="Arial" w:eastAsia="Times New Roman" w:hAnsi="Arial" w:cs="Arial"/>
        </w:rPr>
        <w:t xml:space="preserve">. Demoras en el proceso de consultas previas con comunidades étnicas, </w:t>
      </w:r>
      <w:proofErr w:type="spellStart"/>
      <w:r w:rsidRPr="0018024E">
        <w:rPr>
          <w:rFonts w:ascii="Arial" w:eastAsia="Times New Roman" w:hAnsi="Arial" w:cs="Arial"/>
        </w:rPr>
        <w:t>iv</w:t>
      </w:r>
      <w:proofErr w:type="spellEnd"/>
      <w:r w:rsidRPr="0018024E">
        <w:rPr>
          <w:rFonts w:ascii="Arial" w:eastAsia="Times New Roman" w:hAnsi="Arial" w:cs="Arial"/>
        </w:rPr>
        <w:t>. Demoras en el proceso de manejo arqueológico, v. Retrasos por paros de la comunidad, vi. Retrasos por modificaciones regulatorias a nivel ambiental.</w:t>
      </w:r>
    </w:p>
    <w:p w14:paraId="1D8B59E2" w14:textId="430A89B0" w:rsidR="0018024E" w:rsidRPr="0018024E" w:rsidRDefault="0018024E" w:rsidP="00A57985">
      <w:pPr>
        <w:pStyle w:val="Ttulo3"/>
        <w:numPr>
          <w:ilvl w:val="0"/>
          <w:numId w:val="28"/>
        </w:numPr>
        <w:jc w:val="both"/>
        <w:rPr>
          <w:rFonts w:ascii="Arial" w:hAnsi="Arial" w:cs="Arial"/>
          <w:b/>
          <w:bCs/>
          <w:color w:val="2F5496" w:themeColor="accent5" w:themeShade="BF"/>
          <w:sz w:val="22"/>
          <w:szCs w:val="22"/>
        </w:rPr>
      </w:pPr>
      <w:r w:rsidRPr="0018024E">
        <w:rPr>
          <w:rFonts w:ascii="Arial" w:hAnsi="Arial" w:cs="Arial"/>
          <w:b/>
          <w:bCs/>
          <w:color w:val="2F5496" w:themeColor="accent5" w:themeShade="BF"/>
          <w:sz w:val="22"/>
          <w:szCs w:val="22"/>
        </w:rPr>
        <w:t>Degradación del suelo por erosión</w:t>
      </w:r>
    </w:p>
    <w:p w14:paraId="0603FFD5" w14:textId="77777777" w:rsidR="0018024E" w:rsidRPr="0018024E" w:rsidRDefault="0018024E" w:rsidP="0018024E">
      <w:pPr>
        <w:jc w:val="both"/>
        <w:rPr>
          <w:rFonts w:ascii="Arial" w:hAnsi="Arial" w:cs="Arial"/>
        </w:rPr>
      </w:pPr>
    </w:p>
    <w:p w14:paraId="627A41DA" w14:textId="77777777" w:rsidR="0018024E" w:rsidRPr="0018024E" w:rsidRDefault="0018024E" w:rsidP="0018024E">
      <w:pPr>
        <w:jc w:val="both"/>
        <w:rPr>
          <w:rFonts w:ascii="Arial" w:hAnsi="Arial" w:cs="Arial"/>
        </w:rPr>
      </w:pPr>
      <w:r w:rsidRPr="0018024E">
        <w:rPr>
          <w:rFonts w:ascii="Arial" w:hAnsi="Arial" w:cs="Arial"/>
        </w:rPr>
        <w:t>La degradación del suelo por erosión se refiere a las alteraciones que se pueden presentar en la cobertura vegetal, generando así entre muchos de sus efectos cambios sustanciales en la cobertura boscosa y la vegetación secundaria alta, y por ende aumentos en los niveles de erosión del suelo. En la herramienta de análisis costo beneficio la degradación del suelo por erosión está enfocada al deterioro de la capa superficial de la corteza terrestre y la pérdida de productividad por la afectación de los servicios ecosistémicos. La herramienta plantea cuatro categorías de erosión que se describen a continuación:</w:t>
      </w:r>
    </w:p>
    <w:p w14:paraId="073D403C" w14:textId="77777777" w:rsidR="0018024E" w:rsidRPr="0018024E" w:rsidRDefault="0018024E" w:rsidP="0018024E">
      <w:pPr>
        <w:jc w:val="both"/>
        <w:rPr>
          <w:rFonts w:ascii="Arial" w:hAnsi="Arial" w:cs="Arial"/>
        </w:rPr>
      </w:pPr>
    </w:p>
    <w:p w14:paraId="53D5F0D2" w14:textId="77777777" w:rsidR="0018024E" w:rsidRPr="0018024E" w:rsidRDefault="0018024E" w:rsidP="0018024E">
      <w:pPr>
        <w:jc w:val="both"/>
        <w:rPr>
          <w:rFonts w:ascii="Arial" w:hAnsi="Arial" w:cs="Arial"/>
        </w:rPr>
      </w:pPr>
      <w:r w:rsidRPr="0018024E">
        <w:rPr>
          <w:rFonts w:ascii="Arial" w:hAnsi="Arial" w:cs="Arial"/>
        </w:rPr>
        <w:t>A.</w:t>
      </w:r>
      <w:r w:rsidRPr="0018024E">
        <w:rPr>
          <w:rFonts w:ascii="Arial" w:hAnsi="Arial" w:cs="Arial"/>
        </w:rPr>
        <w:tab/>
        <w:t>Erosión ligera: se presenta alguna evidencia de pérdida de suelo en los horizontes superficiales del suelo, por escurrimiento superficial (pérdida de 25% a 50% de espesor boscoso).</w:t>
      </w:r>
    </w:p>
    <w:p w14:paraId="51849CE0" w14:textId="77777777" w:rsidR="0018024E" w:rsidRPr="0018024E" w:rsidRDefault="0018024E" w:rsidP="0018024E">
      <w:pPr>
        <w:jc w:val="both"/>
        <w:rPr>
          <w:rFonts w:ascii="Arial" w:hAnsi="Arial" w:cs="Arial"/>
        </w:rPr>
      </w:pPr>
      <w:r w:rsidRPr="0018024E">
        <w:rPr>
          <w:rFonts w:ascii="Arial" w:hAnsi="Arial" w:cs="Arial"/>
        </w:rPr>
        <w:t>B.</w:t>
      </w:r>
      <w:r w:rsidRPr="0018024E">
        <w:rPr>
          <w:rFonts w:ascii="Arial" w:hAnsi="Arial" w:cs="Arial"/>
        </w:rPr>
        <w:tab/>
        <w:t>Erosión moderada: se evidencia remoción de los horizontes superficiales del suelo y la capa superficial de suelo ha perdido espesor (pérdida de 50% a 75% de espesor boscoso).</w:t>
      </w:r>
    </w:p>
    <w:p w14:paraId="67832F7D" w14:textId="77777777" w:rsidR="0018024E" w:rsidRPr="0018024E" w:rsidRDefault="0018024E" w:rsidP="0018024E">
      <w:pPr>
        <w:jc w:val="both"/>
        <w:rPr>
          <w:rFonts w:ascii="Arial" w:hAnsi="Arial" w:cs="Arial"/>
        </w:rPr>
      </w:pPr>
      <w:r w:rsidRPr="0018024E">
        <w:rPr>
          <w:rFonts w:ascii="Arial" w:hAnsi="Arial" w:cs="Arial"/>
        </w:rPr>
        <w:t>C.</w:t>
      </w:r>
      <w:r w:rsidRPr="0018024E">
        <w:rPr>
          <w:rFonts w:ascii="Arial" w:hAnsi="Arial" w:cs="Arial"/>
        </w:rPr>
        <w:tab/>
        <w:t>Erosión severa: los horizontes superficiales del suelo están completamente removidos y los horizontes subsuperficiales expuestos (pérdida de más del 75% de espesor boscoso).</w:t>
      </w:r>
    </w:p>
    <w:p w14:paraId="2EC1C0C1" w14:textId="77777777" w:rsidR="0018024E" w:rsidRPr="0018024E" w:rsidRDefault="0018024E" w:rsidP="0018024E">
      <w:pPr>
        <w:jc w:val="both"/>
        <w:rPr>
          <w:rFonts w:ascii="Arial" w:hAnsi="Arial" w:cs="Arial"/>
        </w:rPr>
      </w:pPr>
      <w:r w:rsidRPr="0018024E">
        <w:rPr>
          <w:rFonts w:ascii="Arial" w:hAnsi="Arial" w:cs="Arial"/>
        </w:rPr>
        <w:t>D.</w:t>
      </w:r>
      <w:r w:rsidRPr="0018024E">
        <w:rPr>
          <w:rFonts w:ascii="Arial" w:hAnsi="Arial" w:cs="Arial"/>
        </w:rPr>
        <w:tab/>
        <w:t>Erosión muy severa: se evidencia pérdida total de los horizontes superficiales y pérdida parcial de los horizontes subsuperficiales del suelo (pérdida de 100% de espesor boscoso).</w:t>
      </w:r>
    </w:p>
    <w:p w14:paraId="5A0C66A2" w14:textId="77777777" w:rsidR="0018024E" w:rsidRPr="0018024E" w:rsidRDefault="0018024E" w:rsidP="0018024E">
      <w:pPr>
        <w:jc w:val="both"/>
        <w:rPr>
          <w:rFonts w:ascii="Arial" w:hAnsi="Arial" w:cs="Arial"/>
        </w:rPr>
      </w:pPr>
      <w:r w:rsidRPr="0018024E">
        <w:rPr>
          <w:rFonts w:ascii="Arial" w:hAnsi="Arial" w:cs="Arial"/>
        </w:rPr>
        <w:t>Como se mostró en el acápite de la dimensión ambiental dependiendo de las obras se calcularon las zonas que se encontraban en las diferentes categorías planteadas y se utilizó la herramienta de ACB para calcular los respectivos valores económicos totales se tiene en cuenta no un valor monetario sino los pesos dados por el multicriterio, como muestra la tabla # los valores multicriterio están relacionados con las longitudes de la obra y las características de la capa superficial del suelo.</w:t>
      </w:r>
    </w:p>
    <w:p w14:paraId="28CA295F" w14:textId="77777777" w:rsidR="0018024E" w:rsidRPr="0018024E" w:rsidRDefault="0018024E" w:rsidP="0018024E">
      <w:pPr>
        <w:jc w:val="both"/>
        <w:rPr>
          <w:rFonts w:ascii="Arial" w:hAnsi="Arial" w:cs="Arial"/>
        </w:rPr>
      </w:pPr>
    </w:p>
    <w:p w14:paraId="6EA1F727" w14:textId="10382FCE" w:rsidR="0018024E" w:rsidRPr="0018024E" w:rsidRDefault="0018024E" w:rsidP="00A57985">
      <w:pPr>
        <w:pStyle w:val="Ttulo3"/>
        <w:numPr>
          <w:ilvl w:val="0"/>
          <w:numId w:val="28"/>
        </w:numPr>
        <w:jc w:val="both"/>
        <w:rPr>
          <w:rFonts w:ascii="Arial" w:hAnsi="Arial" w:cs="Arial"/>
          <w:bCs/>
          <w:color w:val="2F5496" w:themeColor="accent5" w:themeShade="BF"/>
          <w:sz w:val="22"/>
          <w:szCs w:val="22"/>
        </w:rPr>
      </w:pPr>
      <w:r w:rsidRPr="0018024E">
        <w:rPr>
          <w:rFonts w:ascii="Arial" w:hAnsi="Arial" w:cs="Arial"/>
          <w:b/>
          <w:bCs/>
          <w:color w:val="2F5496" w:themeColor="accent5" w:themeShade="BF"/>
          <w:sz w:val="22"/>
          <w:szCs w:val="22"/>
        </w:rPr>
        <w:t>Amenaza por remoción en masa</w:t>
      </w:r>
    </w:p>
    <w:p w14:paraId="5693849C" w14:textId="77777777" w:rsidR="0018024E" w:rsidRPr="0018024E" w:rsidRDefault="0018024E" w:rsidP="0018024E">
      <w:pPr>
        <w:jc w:val="both"/>
        <w:rPr>
          <w:rFonts w:ascii="Arial" w:hAnsi="Arial" w:cs="Arial"/>
        </w:rPr>
      </w:pPr>
      <w:r w:rsidRPr="0018024E">
        <w:rPr>
          <w:rFonts w:ascii="Arial" w:hAnsi="Arial" w:cs="Arial"/>
        </w:rPr>
        <w:t xml:space="preserve">La herramienta de análisis costo beneficio de la UPME incluye la categorización con respecto a la severidad de la amenaza por remoción en masa para las posible obras del ETPAGN las categorías se dividen en: “Muy Alta”, “Alta”, “Media” y ”Baja”; se considera la </w:t>
      </w:r>
      <w:r w:rsidRPr="0018024E">
        <w:rPr>
          <w:rFonts w:ascii="Arial" w:hAnsi="Arial" w:cs="Arial"/>
        </w:rPr>
        <w:lastRenderedPageBreak/>
        <w:t>remoción en masa debido al efecto que se puede tener sobre las obras y los costos que representan por la probabilidad de eventos críticos. Como se mostró en el acápite de la dimensión ambiental cada obra puede ser caracterizada, lo cual permite establecer un criterio y la ponderación dependerá de la longitud de la obra y de la probabilidad de que pase por el suelo caracterizado.</w:t>
      </w:r>
    </w:p>
    <w:p w14:paraId="3631E901" w14:textId="568E9CC5" w:rsidR="0018024E" w:rsidRPr="0018024E" w:rsidRDefault="0018024E" w:rsidP="00A57985">
      <w:pPr>
        <w:pStyle w:val="Ttulo3"/>
        <w:numPr>
          <w:ilvl w:val="0"/>
          <w:numId w:val="28"/>
        </w:numPr>
        <w:jc w:val="both"/>
        <w:rPr>
          <w:rFonts w:ascii="Arial" w:hAnsi="Arial" w:cs="Arial"/>
          <w:bCs/>
          <w:color w:val="2F5496" w:themeColor="accent5" w:themeShade="BF"/>
          <w:sz w:val="22"/>
          <w:szCs w:val="22"/>
        </w:rPr>
      </w:pPr>
      <w:r w:rsidRPr="0018024E">
        <w:rPr>
          <w:rFonts w:ascii="Arial" w:hAnsi="Arial" w:cs="Arial"/>
          <w:b/>
          <w:bCs/>
          <w:color w:val="2F5496" w:themeColor="accent5" w:themeShade="BF"/>
          <w:sz w:val="22"/>
          <w:szCs w:val="22"/>
        </w:rPr>
        <w:t>Índice de pobreza multidimensional</w:t>
      </w:r>
    </w:p>
    <w:p w14:paraId="33C49C83" w14:textId="77777777" w:rsidR="0018024E" w:rsidRPr="0018024E" w:rsidRDefault="0018024E" w:rsidP="0018024E">
      <w:pPr>
        <w:jc w:val="both"/>
        <w:rPr>
          <w:rFonts w:ascii="Arial" w:hAnsi="Arial" w:cs="Arial"/>
        </w:rPr>
      </w:pPr>
      <w:r w:rsidRPr="0018024E">
        <w:rPr>
          <w:rFonts w:ascii="Arial" w:hAnsi="Arial" w:cs="Arial"/>
        </w:rPr>
        <w:t>Las obras de infraestructura generan expectativas referidas a la adquisición de servidumbre, a la contratación de mano de obra, a los impactos del proyecto, al cumplimiento de los acuerdos de Plan de Manejo Ambiental – PMA- y a los posibles beneficios que les pueda traer el proyecto.</w:t>
      </w:r>
    </w:p>
    <w:p w14:paraId="7715AB62" w14:textId="77777777" w:rsidR="0018024E" w:rsidRPr="0018024E" w:rsidRDefault="0018024E" w:rsidP="0018024E">
      <w:pPr>
        <w:jc w:val="both"/>
        <w:rPr>
          <w:rFonts w:ascii="Arial" w:hAnsi="Arial" w:cs="Arial"/>
        </w:rPr>
      </w:pPr>
      <w:r w:rsidRPr="0018024E">
        <w:rPr>
          <w:rFonts w:ascii="Arial" w:hAnsi="Arial" w:cs="Arial"/>
        </w:rPr>
        <w:t>El índice de pobreza multidimensional (IPM) es un indicador que permite entender las implicaciones sociales generan expectativas en la población porque es posible que el beneficio de la empleabilidad de mano de obra no compense exactamente el costo de la pérdida de valor de la propiedad y el costo de oportunidad de uso del suelo, lo que puede llevar a una percepción de pobreza alta que genere conflictos para llevar a cabo la expansión. Con este fin la herramienta de ACB de la UPME utiliza el IPM dentro de las variables no monetarias que hacen parte del multicriterio de las diferentes dimensiones asociadas al enfoque territorial dándole un peso dentro del cálculo de 31% dentro de la dimensión social.</w:t>
      </w:r>
    </w:p>
    <w:p w14:paraId="21F58359" w14:textId="27033DC8" w:rsidR="0018024E" w:rsidRPr="0018024E" w:rsidRDefault="0018024E" w:rsidP="00A57985">
      <w:pPr>
        <w:pStyle w:val="Ttulo3"/>
        <w:numPr>
          <w:ilvl w:val="0"/>
          <w:numId w:val="28"/>
        </w:numPr>
        <w:jc w:val="both"/>
        <w:rPr>
          <w:rFonts w:ascii="Arial" w:hAnsi="Arial" w:cs="Arial"/>
          <w:bCs/>
          <w:color w:val="2F5496" w:themeColor="accent5" w:themeShade="BF"/>
          <w:sz w:val="22"/>
          <w:szCs w:val="22"/>
        </w:rPr>
      </w:pPr>
      <w:r w:rsidRPr="0018024E">
        <w:rPr>
          <w:rFonts w:ascii="Arial" w:hAnsi="Arial" w:cs="Arial"/>
          <w:b/>
          <w:bCs/>
          <w:color w:val="2F5496" w:themeColor="accent5" w:themeShade="BF"/>
          <w:sz w:val="22"/>
          <w:szCs w:val="22"/>
        </w:rPr>
        <w:t>Presencia de comunidades étnicas</w:t>
      </w:r>
    </w:p>
    <w:p w14:paraId="62BCC4FF" w14:textId="77777777" w:rsidR="0018024E" w:rsidRPr="0018024E" w:rsidRDefault="0018024E" w:rsidP="0018024E">
      <w:pPr>
        <w:jc w:val="both"/>
        <w:rPr>
          <w:rFonts w:ascii="Arial" w:hAnsi="Arial" w:cs="Arial"/>
        </w:rPr>
      </w:pPr>
      <w:r w:rsidRPr="0018024E">
        <w:rPr>
          <w:rFonts w:ascii="Arial" w:hAnsi="Arial" w:cs="Arial"/>
        </w:rPr>
        <w:t>El indicador de la herramienta de ACB de la UPME tiene en cuenta la presencia de territorios étnicos, grupos étnicos y patrones culturales. Este indicador se mide a través de la información consultada de territorios de resguardos indígenas y territorios colectivos afrodescendientes en las cifras y cartografía de la Agencia Nacional de Tierras (ANT). Con este fin la herramienta de ACB de la UPME utiliza un peso dentro del cálculo de 10% dentro de la dimensión social.</w:t>
      </w:r>
    </w:p>
    <w:p w14:paraId="19166995" w14:textId="6D5A7F8F" w:rsidR="0018024E" w:rsidRPr="0018024E" w:rsidRDefault="0018024E" w:rsidP="00A57985">
      <w:pPr>
        <w:pStyle w:val="Ttulo3"/>
        <w:numPr>
          <w:ilvl w:val="0"/>
          <w:numId w:val="28"/>
        </w:numPr>
        <w:jc w:val="both"/>
        <w:rPr>
          <w:rFonts w:ascii="Arial" w:hAnsi="Arial" w:cs="Arial"/>
          <w:sz w:val="22"/>
          <w:szCs w:val="22"/>
        </w:rPr>
      </w:pPr>
      <w:r w:rsidRPr="00A57985">
        <w:rPr>
          <w:rFonts w:ascii="Arial" w:hAnsi="Arial" w:cs="Arial"/>
          <w:b/>
          <w:bCs/>
          <w:color w:val="2F5496" w:themeColor="accent5" w:themeShade="BF"/>
          <w:sz w:val="22"/>
          <w:szCs w:val="22"/>
        </w:rPr>
        <w:t>índice de sostenibilidad de patrimonio cultural</w:t>
      </w:r>
    </w:p>
    <w:p w14:paraId="0BDD37EC" w14:textId="77777777" w:rsidR="0018024E" w:rsidRPr="0018024E" w:rsidRDefault="0018024E" w:rsidP="0018024E">
      <w:pPr>
        <w:jc w:val="both"/>
        <w:rPr>
          <w:rFonts w:ascii="Arial" w:hAnsi="Arial" w:cs="Arial"/>
        </w:rPr>
      </w:pPr>
      <w:r w:rsidRPr="0018024E">
        <w:rPr>
          <w:rFonts w:ascii="Arial" w:hAnsi="Arial" w:cs="Arial"/>
        </w:rPr>
        <w:t>Teniendo en cuenta que en términos de riesgos arqueológicos, el mayor número de sitios, puede representar una mayor probabilidad de hallazgo en caso de desarrollar el proyecto, la cantidad de sitios arqueológicos presentes en los territorios de las obras sirve como referente a la herramienta de ACB para generar los índices respectivos que permitan identificar la importancia del patrimonio cultural, con respecto a los Hallazgos Arqueológicos, no se localizan áreas arqueológicas protegidas hasta que no se generen estudios específicos para el inicio del proyecto. Como muestra la tabla # la cantidad de sitios arqueológicos está relacionada con el índice de patrimonio cultural planteados por la herramienta según las diferentes obras. Con este fin la herramienta de ACB de la UPME utiliza un peso dentro del cálculo de 7% dentro de la dimensión social.</w:t>
      </w:r>
    </w:p>
    <w:p w14:paraId="40B71474" w14:textId="77777777" w:rsidR="0018024E" w:rsidRPr="0018024E" w:rsidRDefault="0018024E" w:rsidP="0018024E">
      <w:pPr>
        <w:jc w:val="both"/>
        <w:rPr>
          <w:rFonts w:ascii="Arial" w:hAnsi="Arial" w:cs="Arial"/>
        </w:rPr>
      </w:pPr>
    </w:p>
    <w:p w14:paraId="4A987710" w14:textId="5BAF7C0A" w:rsidR="0018024E" w:rsidRPr="00A57985" w:rsidRDefault="0018024E" w:rsidP="00A57985">
      <w:pPr>
        <w:pStyle w:val="Ttulo3"/>
        <w:numPr>
          <w:ilvl w:val="0"/>
          <w:numId w:val="28"/>
        </w:numPr>
        <w:jc w:val="both"/>
        <w:rPr>
          <w:rFonts w:ascii="Arial" w:hAnsi="Arial" w:cs="Arial"/>
          <w:b/>
          <w:bCs/>
          <w:color w:val="2F5496" w:themeColor="accent5" w:themeShade="BF"/>
          <w:sz w:val="22"/>
          <w:szCs w:val="22"/>
        </w:rPr>
      </w:pPr>
      <w:r w:rsidRPr="00A57985">
        <w:rPr>
          <w:rFonts w:ascii="Arial" w:hAnsi="Arial" w:cs="Arial"/>
          <w:b/>
          <w:bCs/>
          <w:color w:val="2F5496" w:themeColor="accent5" w:themeShade="BF"/>
          <w:sz w:val="22"/>
          <w:szCs w:val="22"/>
        </w:rPr>
        <w:lastRenderedPageBreak/>
        <w:t xml:space="preserve"> Empleos generados</w:t>
      </w:r>
    </w:p>
    <w:p w14:paraId="561C813F" w14:textId="77777777" w:rsidR="0018024E" w:rsidRPr="0018024E" w:rsidRDefault="0018024E" w:rsidP="0018024E">
      <w:pPr>
        <w:jc w:val="both"/>
        <w:rPr>
          <w:rFonts w:ascii="Arial" w:hAnsi="Arial" w:cs="Arial"/>
        </w:rPr>
      </w:pPr>
      <w:r w:rsidRPr="0018024E">
        <w:rPr>
          <w:rFonts w:ascii="Arial" w:hAnsi="Arial" w:cs="Arial"/>
        </w:rPr>
        <w:t>Teniendo en cuenta que el desarrollo de las actividades económicas que se llevan a cabo en la zona de influencia, implica también la demanda de personal el cual se inserta en las actividades ya sea a través de contratos laborales, acuerdos verbales o de modo independiente, se presenta el carácter positivo de este impacto, ya que se encuentra asociado a empleos directos o indirectos, en los cuales la población contratada tiene posibilidades de incrementar el acceso a diferentes bienes y servicios.</w:t>
      </w:r>
    </w:p>
    <w:p w14:paraId="268B8B60" w14:textId="77777777" w:rsidR="0018024E" w:rsidRPr="0018024E" w:rsidRDefault="0018024E" w:rsidP="0018024E">
      <w:pPr>
        <w:jc w:val="both"/>
        <w:rPr>
          <w:rFonts w:ascii="Arial" w:hAnsi="Arial" w:cs="Arial"/>
        </w:rPr>
      </w:pPr>
      <w:r w:rsidRPr="0018024E">
        <w:rPr>
          <w:rFonts w:ascii="Arial" w:hAnsi="Arial" w:cs="Arial"/>
        </w:rPr>
        <w:t>Se caracteriza por la oportunidad laboral que se otorga a las comunidades al realizar intervenciones de mantenimiento como la reposición de tubería, el mantenimiento de cruces especiales, la rocería, las obras de estabilización del derecho de vía y actividades conexas como la adecuación de accesos. A pesar de que son empleos temporales y no continuos, es la opción para las unidades familiares de trabajar en las diferentes obras.</w:t>
      </w:r>
    </w:p>
    <w:p w14:paraId="7A97AA82" w14:textId="77777777" w:rsidR="0018024E" w:rsidRPr="0018024E" w:rsidRDefault="0018024E" w:rsidP="0018024E">
      <w:pPr>
        <w:jc w:val="both"/>
        <w:rPr>
          <w:rFonts w:ascii="Arial" w:hAnsi="Arial" w:cs="Arial"/>
        </w:rPr>
      </w:pPr>
      <w:r w:rsidRPr="0018024E">
        <w:rPr>
          <w:rFonts w:ascii="Arial" w:hAnsi="Arial" w:cs="Arial"/>
        </w:rPr>
        <w:t>Para estimar este beneficio se recurre al método conocido de valoración de mercado laboral, se usará la metodología y los salarios propuestos en la herramienta ACB UPME y basándose en los requerimientos de mano de obra no calificada de proyectos similares y las longitudes de las diferentes obras</w:t>
      </w:r>
      <w:r w:rsidRPr="0018024E">
        <w:rPr>
          <w:rFonts w:ascii="Arial" w:hAnsi="Arial" w:cs="Arial"/>
          <w:vertAlign w:val="superscript"/>
        </w:rPr>
        <w:footnoteReference w:id="3"/>
      </w:r>
      <w:r w:rsidRPr="0018024E">
        <w:rPr>
          <w:rFonts w:ascii="Arial" w:hAnsi="Arial" w:cs="Arial"/>
        </w:rPr>
        <w:t>, el cálculo se resume a continuación:</w:t>
      </w:r>
    </w:p>
    <w:p w14:paraId="5427C025" w14:textId="77777777" w:rsidR="0018024E" w:rsidRPr="0018024E" w:rsidRDefault="0018024E" w:rsidP="0018024E">
      <w:pPr>
        <w:jc w:val="both"/>
        <w:rPr>
          <w:rFonts w:ascii="Arial" w:hAnsi="Arial" w:cs="Arial"/>
        </w:rPr>
      </w:pPr>
      <m:oMath>
        <m:r>
          <w:rPr>
            <w:rFonts w:ascii="Cambria Math" w:hAnsi="Cambria Math" w:cs="Arial"/>
          </w:rPr>
          <m:t>empleo=N°ocup_kj*km)</m:t>
        </m:r>
      </m:oMath>
      <w:r w:rsidRPr="0018024E">
        <w:rPr>
          <w:rFonts w:ascii="Arial" w:hAnsi="Arial" w:cs="Arial"/>
        </w:rPr>
        <w:t xml:space="preserve"> (1)</w:t>
      </w:r>
    </w:p>
    <w:p w14:paraId="5A6ECDA9" w14:textId="00198E74" w:rsidR="0018024E" w:rsidRDefault="00A57985" w:rsidP="0018024E">
      <w:pPr>
        <w:jc w:val="both"/>
        <w:rPr>
          <w:rFonts w:ascii="Arial" w:hAnsi="Arial" w:cs="Arial"/>
        </w:rPr>
      </w:pPr>
      <m:oMath>
        <m:r>
          <w:rPr>
            <w:rFonts w:ascii="Cambria Math" w:hAnsi="Cambria Math" w:cs="Arial"/>
          </w:rPr>
          <m:t>empleo</m:t>
        </m:r>
      </m:oMath>
      <w:r w:rsidR="0018024E" w:rsidRPr="0018024E">
        <w:rPr>
          <w:rFonts w:ascii="Arial" w:hAnsi="Arial" w:cs="Arial"/>
        </w:rPr>
        <w:t>: beneficio por variación en los ingresos por el empleo</w:t>
      </w:r>
    </w:p>
    <w:p w14:paraId="67D4AA0E" w14:textId="6542C9A6" w:rsidR="0018024E" w:rsidRPr="0018024E" w:rsidRDefault="00A57985" w:rsidP="0018024E">
      <w:pPr>
        <w:jc w:val="both"/>
        <w:rPr>
          <w:rFonts w:ascii="Arial" w:hAnsi="Arial" w:cs="Arial"/>
        </w:rPr>
      </w:pPr>
      <m:oMath>
        <m:r>
          <w:rPr>
            <w:rFonts w:ascii="Cambria Math" w:hAnsi="Cambria Math" w:cs="Arial"/>
          </w:rPr>
          <m:t>N°ocupk</m:t>
        </m:r>
      </m:oMath>
      <w:r w:rsidR="0018024E" w:rsidRPr="0018024E">
        <w:rPr>
          <w:rFonts w:ascii="Arial" w:hAnsi="Arial" w:cs="Arial"/>
        </w:rPr>
        <w:t>: número de mano de obra no calificada por km de línea de cada obra</w:t>
      </w:r>
    </w:p>
    <w:p w14:paraId="05507669" w14:textId="763682D7" w:rsidR="0018024E" w:rsidRPr="00A57985" w:rsidRDefault="0018024E" w:rsidP="00A57985">
      <w:pPr>
        <w:pStyle w:val="Ttulo3"/>
        <w:numPr>
          <w:ilvl w:val="0"/>
          <w:numId w:val="28"/>
        </w:numPr>
        <w:jc w:val="both"/>
        <w:rPr>
          <w:rFonts w:ascii="Arial" w:hAnsi="Arial" w:cs="Arial"/>
          <w:b/>
          <w:bCs/>
          <w:color w:val="2F5496" w:themeColor="accent5" w:themeShade="BF"/>
          <w:sz w:val="22"/>
          <w:szCs w:val="22"/>
        </w:rPr>
      </w:pPr>
      <w:r w:rsidRPr="00A57985">
        <w:rPr>
          <w:rFonts w:ascii="Arial" w:hAnsi="Arial" w:cs="Arial"/>
          <w:b/>
          <w:bCs/>
          <w:color w:val="2F5496" w:themeColor="accent5" w:themeShade="BF"/>
          <w:sz w:val="22"/>
          <w:szCs w:val="22"/>
        </w:rPr>
        <w:t>Encadenamiento productivo</w:t>
      </w:r>
    </w:p>
    <w:p w14:paraId="7ADB551C" w14:textId="77777777" w:rsidR="0018024E" w:rsidRPr="0018024E" w:rsidRDefault="0018024E" w:rsidP="0018024E">
      <w:pPr>
        <w:jc w:val="both"/>
        <w:rPr>
          <w:rFonts w:ascii="Arial" w:hAnsi="Arial" w:cs="Arial"/>
        </w:rPr>
      </w:pPr>
      <w:r w:rsidRPr="0018024E">
        <w:rPr>
          <w:rFonts w:ascii="Arial" w:hAnsi="Arial" w:cs="Arial"/>
        </w:rPr>
        <w:t>La cuantificación de los impactos del sector de gas en la economía nacional se realiza mediante el cálculo de los multiplicadores sectoriales correspondientes a la aproximación de la Matriz de Insumo – Producto (MIP), el insumo principal de la metodología es la información del Departamento Administrativo Nacional de Estadística (DANE) y  en las matrices e Oferta y Utilización; los impactos económicos del sector se entienden como el valor total de la producción de todas las industrias necesarias para satisfacer un peso extra en la demanda final del sector de interés y son analizados a través de los multiplicadores de 2013 a 2023.</w:t>
      </w:r>
    </w:p>
    <w:p w14:paraId="48F64BFB" w14:textId="77777777" w:rsidR="0018024E" w:rsidRPr="0018024E" w:rsidRDefault="0018024E" w:rsidP="0018024E">
      <w:pPr>
        <w:jc w:val="both"/>
        <w:rPr>
          <w:rFonts w:ascii="Arial" w:hAnsi="Arial" w:cs="Arial"/>
        </w:rPr>
      </w:pPr>
      <w:r w:rsidRPr="0018024E">
        <w:rPr>
          <w:rFonts w:ascii="Arial" w:hAnsi="Arial" w:cs="Arial"/>
        </w:rPr>
        <w:t>En el caso de las nuevas obras propuestas y con el fin de dar a conocer una aproximación regional se utiliza la metodología del Banco de la República (2017), esta metodología incorpora componentes regionales a la identidad macroeconómica, los cuales fueron estimados según la siguiente ecuación:</w:t>
      </w:r>
    </w:p>
    <w:p w14:paraId="1067B7DA" w14:textId="52EAE154" w:rsidR="0018024E" w:rsidRPr="0018024E" w:rsidRDefault="00A57985" w:rsidP="0018024E">
      <w:pPr>
        <w:jc w:val="both"/>
        <w:rPr>
          <w:rFonts w:ascii="Arial" w:hAnsi="Arial" w:cs="Arial"/>
          <w:lang w:val="en-US"/>
        </w:rPr>
      </w:pPr>
      <m:oMathPara>
        <m:oMath>
          <m:r>
            <w:rPr>
              <w:rFonts w:ascii="Cambria Math" w:hAnsi="Cambria Math" w:cs="Arial"/>
              <w:lang w:val="en-US"/>
            </w:rPr>
            <m:t>PRB = C + I + G + (X – M) RM + (X – M) DOM</m:t>
          </m:r>
        </m:oMath>
      </m:oMathPara>
    </w:p>
    <w:p w14:paraId="338128C3" w14:textId="77777777" w:rsidR="0018024E" w:rsidRPr="0018024E" w:rsidRDefault="0018024E" w:rsidP="0018024E">
      <w:pPr>
        <w:jc w:val="both"/>
        <w:rPr>
          <w:rFonts w:ascii="Arial" w:hAnsi="Arial" w:cs="Arial"/>
        </w:rPr>
      </w:pPr>
      <w:r w:rsidRPr="0018024E">
        <w:rPr>
          <w:rFonts w:ascii="Arial" w:hAnsi="Arial" w:cs="Arial"/>
        </w:rPr>
        <w:lastRenderedPageBreak/>
        <w:t>Donde:</w:t>
      </w:r>
    </w:p>
    <w:p w14:paraId="7D058133" w14:textId="20888794" w:rsidR="0018024E" w:rsidRPr="00A57985" w:rsidRDefault="00A57985" w:rsidP="0018024E">
      <w:pPr>
        <w:jc w:val="both"/>
        <w:rPr>
          <w:rFonts w:ascii="Cambria Math" w:hAnsi="Cambria Math" w:cs="Arial"/>
          <w:oMath/>
        </w:rPr>
      </w:pPr>
      <m:oMathPara>
        <m:oMathParaPr>
          <m:jc m:val="left"/>
        </m:oMathParaPr>
        <m:oMath>
          <m:r>
            <w:rPr>
              <w:rFonts w:ascii="Cambria Math" w:hAnsi="Cambria Math" w:cs="Arial"/>
            </w:rPr>
            <m:t xml:space="preserve">C = Consumo de los hogares; </m:t>
          </m:r>
        </m:oMath>
      </m:oMathPara>
    </w:p>
    <w:p w14:paraId="573A82DA" w14:textId="3851C6AA" w:rsidR="0018024E" w:rsidRPr="00A57985" w:rsidRDefault="00A57985" w:rsidP="0018024E">
      <w:pPr>
        <w:jc w:val="both"/>
        <w:rPr>
          <w:rFonts w:ascii="Cambria Math" w:hAnsi="Cambria Math" w:cs="Arial"/>
          <w:oMath/>
        </w:rPr>
      </w:pPr>
      <m:oMathPara>
        <m:oMathParaPr>
          <m:jc m:val="left"/>
        </m:oMathParaPr>
        <m:oMath>
          <m:r>
            <w:rPr>
              <w:rFonts w:ascii="Cambria Math" w:hAnsi="Cambria Math" w:cs="Arial"/>
            </w:rPr>
            <m:t xml:space="preserve">I = Inversión; </m:t>
          </m:r>
        </m:oMath>
      </m:oMathPara>
    </w:p>
    <w:p w14:paraId="7ABAD2AA" w14:textId="78E14678" w:rsidR="0018024E" w:rsidRPr="00A57985" w:rsidRDefault="00A57985" w:rsidP="0018024E">
      <w:pPr>
        <w:jc w:val="both"/>
        <w:rPr>
          <w:rFonts w:ascii="Cambria Math" w:hAnsi="Cambria Math" w:cs="Arial"/>
          <w:oMath/>
        </w:rPr>
      </w:pPr>
      <m:oMathPara>
        <m:oMathParaPr>
          <m:jc m:val="left"/>
        </m:oMathParaPr>
        <m:oMath>
          <m:r>
            <w:rPr>
              <w:rFonts w:ascii="Cambria Math" w:hAnsi="Cambria Math" w:cs="Arial"/>
            </w:rPr>
            <m:t xml:space="preserve">G = Consumo del gobierno; </m:t>
          </m:r>
        </m:oMath>
      </m:oMathPara>
    </w:p>
    <w:p w14:paraId="6C30AC0E" w14:textId="7F374B91" w:rsidR="0018024E" w:rsidRPr="00A57985" w:rsidRDefault="00A57985" w:rsidP="0018024E">
      <w:pPr>
        <w:jc w:val="both"/>
        <w:rPr>
          <w:rFonts w:ascii="Cambria Math" w:hAnsi="Cambria Math" w:cs="Arial"/>
          <w:oMath/>
        </w:rPr>
      </w:pPr>
      <m:oMathPara>
        <m:oMathParaPr>
          <m:jc m:val="left"/>
        </m:oMathParaPr>
        <m:oMath>
          <m:r>
            <w:rPr>
              <w:rFonts w:ascii="Cambria Math" w:hAnsi="Cambria Math" w:cs="Arial"/>
            </w:rPr>
            <m:t xml:space="preserve">(X – M) RM = Balanza comercial internacional (región y resto del mundo); </m:t>
          </m:r>
        </m:oMath>
      </m:oMathPara>
    </w:p>
    <w:p w14:paraId="22458F4C" w14:textId="478A45FC" w:rsidR="0018024E" w:rsidRPr="00A57985" w:rsidRDefault="00A57985" w:rsidP="0018024E">
      <w:pPr>
        <w:jc w:val="both"/>
        <w:rPr>
          <w:rFonts w:ascii="Cambria Math" w:hAnsi="Cambria Math" w:cs="Arial"/>
          <w:oMath/>
        </w:rPr>
      </w:pPr>
      <m:oMathPara>
        <m:oMathParaPr>
          <m:jc m:val="left"/>
        </m:oMathParaPr>
        <m:oMath>
          <m:r>
            <w:rPr>
              <w:rFonts w:ascii="Cambria Math" w:hAnsi="Cambria Math" w:cs="Arial"/>
            </w:rPr>
            <m:t>(X – M) DOM = Balanza comercial interregional (región y otras regiones)</m:t>
          </m:r>
        </m:oMath>
      </m:oMathPara>
    </w:p>
    <w:p w14:paraId="7BE62E97" w14:textId="1693CD17" w:rsidR="0018024E" w:rsidRPr="0018024E" w:rsidRDefault="00A57985" w:rsidP="0018024E">
      <w:pPr>
        <w:jc w:val="both"/>
        <w:rPr>
          <w:rFonts w:ascii="Arial" w:hAnsi="Arial" w:cs="Arial"/>
        </w:rPr>
      </w:pPr>
      <w:r>
        <w:rPr>
          <w:rFonts w:ascii="Arial" w:hAnsi="Arial" w:cs="Arial"/>
        </w:rPr>
        <w:t>Finalmente, con el objetivo de</w:t>
      </w:r>
      <w:r w:rsidR="0018024E" w:rsidRPr="0018024E">
        <w:rPr>
          <w:rFonts w:ascii="Arial" w:hAnsi="Arial" w:cs="Arial"/>
        </w:rPr>
        <w:t xml:space="preserve"> regionalizar la metodología</w:t>
      </w:r>
      <w:r>
        <w:rPr>
          <w:rFonts w:ascii="Arial" w:hAnsi="Arial" w:cs="Arial"/>
        </w:rPr>
        <w:t>,</w:t>
      </w:r>
      <w:r w:rsidR="0018024E" w:rsidRPr="0018024E">
        <w:rPr>
          <w:rFonts w:ascii="Arial" w:hAnsi="Arial" w:cs="Arial"/>
        </w:rPr>
        <w:t xml:space="preserve"> se asume que cada región utiliza la misma combinación de productos para los diferentes usuarios (sectores productivos, inversores, los hogares y el Gobierno) que se observa en las matrices nacionales de insumo-producto para Colombia (BANREP 2017)</w:t>
      </w:r>
      <w:r w:rsidR="0018024E" w:rsidRPr="0018024E">
        <w:rPr>
          <w:rStyle w:val="Refdenotaalpie"/>
          <w:rFonts w:ascii="Arial" w:hAnsi="Arial" w:cs="Arial"/>
        </w:rPr>
        <w:footnoteReference w:id="4"/>
      </w:r>
      <w:r w:rsidR="0018024E" w:rsidRPr="0018024E">
        <w:rPr>
          <w:rFonts w:ascii="Arial" w:hAnsi="Arial" w:cs="Arial"/>
        </w:rPr>
        <w:t xml:space="preserve">; después de esto se realiza el respectivo análisis matricial utilizando los vectores de producción total y demanda final, para obtener los multiplicadores se utiliza matriz inversa de </w:t>
      </w:r>
      <w:proofErr w:type="spellStart"/>
      <w:r w:rsidR="0018024E" w:rsidRPr="0018024E">
        <w:rPr>
          <w:rFonts w:ascii="Arial" w:hAnsi="Arial" w:cs="Arial"/>
        </w:rPr>
        <w:t>Leontief</w:t>
      </w:r>
      <w:proofErr w:type="spellEnd"/>
      <w:r w:rsidR="0018024E" w:rsidRPr="0018024E">
        <w:rPr>
          <w:rFonts w:ascii="Arial" w:hAnsi="Arial" w:cs="Arial"/>
        </w:rPr>
        <w:t xml:space="preserve"> y se presentan algunas observaciones resumidas sobre las estructuras económicas regionales.</w:t>
      </w:r>
    </w:p>
    <w:p w14:paraId="48964FB7" w14:textId="77777777" w:rsidR="0018024E" w:rsidRPr="0018024E" w:rsidRDefault="0018024E" w:rsidP="0018024E">
      <w:pPr>
        <w:jc w:val="both"/>
        <w:rPr>
          <w:rFonts w:ascii="Arial" w:hAnsi="Arial" w:cs="Arial"/>
        </w:rPr>
      </w:pPr>
    </w:p>
    <w:p w14:paraId="497CF8DF" w14:textId="77777777" w:rsidR="0018024E" w:rsidRPr="0018024E" w:rsidRDefault="0018024E" w:rsidP="0018024E">
      <w:pPr>
        <w:jc w:val="both"/>
        <w:rPr>
          <w:rFonts w:ascii="Arial" w:hAnsi="Arial" w:cs="Arial"/>
        </w:rPr>
      </w:pPr>
    </w:p>
    <w:p w14:paraId="5A64513C" w14:textId="77777777" w:rsidR="0018024E" w:rsidRPr="0018024E" w:rsidRDefault="0018024E" w:rsidP="0018024E">
      <w:pPr>
        <w:pStyle w:val="Ttulo1"/>
        <w:jc w:val="both"/>
        <w:rPr>
          <w:rFonts w:ascii="Arial" w:hAnsi="Arial" w:cs="Arial"/>
          <w:sz w:val="22"/>
          <w:szCs w:val="22"/>
        </w:rPr>
      </w:pPr>
    </w:p>
    <w:p w14:paraId="558D5CE9" w14:textId="77777777" w:rsidR="0018024E" w:rsidRPr="0018024E" w:rsidRDefault="0018024E" w:rsidP="0018024E">
      <w:pPr>
        <w:jc w:val="both"/>
        <w:rPr>
          <w:rFonts w:ascii="Arial" w:hAnsi="Arial" w:cs="Arial"/>
        </w:rPr>
      </w:pPr>
    </w:p>
    <w:p w14:paraId="77641AEB" w14:textId="5669AED1" w:rsidR="00824ACD" w:rsidRPr="0018024E" w:rsidRDefault="00824ACD" w:rsidP="0018024E">
      <w:pPr>
        <w:jc w:val="both"/>
        <w:rPr>
          <w:rFonts w:ascii="Arial" w:hAnsi="Arial" w:cs="Arial"/>
        </w:rPr>
      </w:pPr>
    </w:p>
    <w:sectPr w:rsidR="00824ACD" w:rsidRPr="0018024E">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9826F" w14:textId="77777777" w:rsidR="00F36ADB" w:rsidRDefault="00F36ADB" w:rsidP="004D5B24">
      <w:pPr>
        <w:spacing w:after="0" w:line="240" w:lineRule="auto"/>
      </w:pPr>
      <w:r>
        <w:separator/>
      </w:r>
    </w:p>
  </w:endnote>
  <w:endnote w:type="continuationSeparator" w:id="0">
    <w:p w14:paraId="730556DC" w14:textId="77777777" w:rsidR="00F36ADB" w:rsidRDefault="00F36ADB" w:rsidP="004D5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1AF92" w14:textId="77777777" w:rsidR="00F36ADB" w:rsidRDefault="00F36ADB" w:rsidP="004D5B24">
      <w:pPr>
        <w:spacing w:after="0" w:line="240" w:lineRule="auto"/>
      </w:pPr>
      <w:r>
        <w:separator/>
      </w:r>
    </w:p>
  </w:footnote>
  <w:footnote w:type="continuationSeparator" w:id="0">
    <w:p w14:paraId="0C052F6B" w14:textId="77777777" w:rsidR="00F36ADB" w:rsidRDefault="00F36ADB" w:rsidP="004D5B24">
      <w:pPr>
        <w:spacing w:after="0" w:line="240" w:lineRule="auto"/>
      </w:pPr>
      <w:r>
        <w:continuationSeparator/>
      </w:r>
    </w:p>
  </w:footnote>
  <w:footnote w:id="1">
    <w:p w14:paraId="2B3248FD" w14:textId="77777777" w:rsidR="0018024E" w:rsidRPr="00A57985" w:rsidRDefault="0018024E" w:rsidP="00A57985">
      <w:pPr>
        <w:pStyle w:val="Textonotapie"/>
        <w:jc w:val="both"/>
        <w:rPr>
          <w:rFonts w:ascii="Arial" w:hAnsi="Arial" w:cs="Arial"/>
          <w:sz w:val="18"/>
          <w:szCs w:val="18"/>
        </w:rPr>
      </w:pPr>
      <w:bookmarkStart w:id="2" w:name="_Hlk149137554"/>
      <w:r w:rsidRPr="00A57985">
        <w:rPr>
          <w:rStyle w:val="Refdenotaalpie"/>
          <w:rFonts w:ascii="Arial" w:hAnsi="Arial" w:cs="Arial"/>
          <w:sz w:val="18"/>
          <w:szCs w:val="18"/>
        </w:rPr>
        <w:footnoteRef/>
      </w:r>
      <w:r w:rsidRPr="00A57985">
        <w:rPr>
          <w:rFonts w:ascii="Arial" w:hAnsi="Arial" w:cs="Arial"/>
          <w:sz w:val="18"/>
          <w:szCs w:val="18"/>
        </w:rPr>
        <w:t xml:space="preserve"> Que contiene “La aplicación de la metodología de evaluación ambiental estratégica a la expansión prevista en Colombia para la actividad de TRANSPORTE de crudo, derivados, bases disolventes y gas, tomando como referencia el escenario tendencial (por vía terrestre en carrotanques, en el caso de crudo, combustibles líquidos, derivados y bases), comparándola con un escenario alternativo (transporte por ductos)” (Unidad de Planeación </w:t>
      </w:r>
      <w:proofErr w:type="gramStart"/>
      <w:r w:rsidRPr="00A57985">
        <w:rPr>
          <w:rFonts w:ascii="Arial" w:hAnsi="Arial" w:cs="Arial"/>
          <w:sz w:val="18"/>
          <w:szCs w:val="18"/>
        </w:rPr>
        <w:t>Minero Energética</w:t>
      </w:r>
      <w:proofErr w:type="gramEnd"/>
      <w:r w:rsidRPr="00A57985">
        <w:rPr>
          <w:rFonts w:ascii="Arial" w:hAnsi="Arial" w:cs="Arial"/>
          <w:sz w:val="18"/>
          <w:szCs w:val="18"/>
        </w:rPr>
        <w:t xml:space="preserve"> - UPME, 2017).</w:t>
      </w:r>
      <w:bookmarkEnd w:id="2"/>
    </w:p>
  </w:footnote>
  <w:footnote w:id="2">
    <w:p w14:paraId="4326CC6E" w14:textId="77777777" w:rsidR="0018024E" w:rsidRPr="0087761C" w:rsidRDefault="0018024E" w:rsidP="0018024E">
      <w:pPr>
        <w:pStyle w:val="Textonotapie"/>
      </w:pPr>
      <w:r w:rsidRPr="00A57985">
        <w:rPr>
          <w:rStyle w:val="Refdenotaalpie"/>
          <w:rFonts w:ascii="Arial" w:hAnsi="Arial" w:cs="Arial"/>
          <w:sz w:val="18"/>
          <w:szCs w:val="18"/>
        </w:rPr>
        <w:footnoteRef/>
      </w:r>
      <w:r w:rsidRPr="00A57985">
        <w:rPr>
          <w:rFonts w:ascii="Arial" w:hAnsi="Arial" w:cs="Arial"/>
          <w:sz w:val="18"/>
          <w:szCs w:val="18"/>
        </w:rPr>
        <w:t xml:space="preserve"> Sin embargo, aunque no se tendrán en cuenta, se destaca que el mercado ofrece algunas alternativas para el movimiento del gas, tales como los gasoductos virtuales</w:t>
      </w:r>
      <w:r w:rsidRPr="0087761C">
        <w:rPr>
          <w:sz w:val="16"/>
          <w:szCs w:val="14"/>
        </w:rPr>
        <w:t>.</w:t>
      </w:r>
    </w:p>
  </w:footnote>
  <w:footnote w:id="3">
    <w:p w14:paraId="427D6C7B" w14:textId="77777777" w:rsidR="0018024E" w:rsidRPr="00A57985" w:rsidRDefault="0018024E" w:rsidP="00A57985">
      <w:pPr>
        <w:jc w:val="both"/>
        <w:rPr>
          <w:rFonts w:ascii="Arial" w:hAnsi="Arial" w:cs="Arial"/>
          <w:sz w:val="18"/>
          <w:szCs w:val="18"/>
        </w:rPr>
      </w:pPr>
      <w:r w:rsidRPr="00A57985">
        <w:rPr>
          <w:rFonts w:ascii="Arial" w:hAnsi="Arial" w:cs="Arial"/>
          <w:sz w:val="18"/>
          <w:szCs w:val="18"/>
          <w:vertAlign w:val="superscript"/>
        </w:rPr>
        <w:footnoteRef/>
      </w:r>
      <w:r w:rsidRPr="00A57985">
        <w:rPr>
          <w:rFonts w:ascii="Arial" w:hAnsi="Arial" w:cs="Arial"/>
          <w:sz w:val="18"/>
          <w:szCs w:val="18"/>
        </w:rPr>
        <w:t xml:space="preserve"> </w:t>
      </w:r>
      <w:r w:rsidRPr="00A57985">
        <w:rPr>
          <w:rFonts w:ascii="Arial" w:hAnsi="Arial" w:cs="Arial"/>
          <w:sz w:val="18"/>
          <w:szCs w:val="18"/>
        </w:rPr>
        <w:t>Este se toma de los estudios de referencia, dividiendo la cantidad de mano de obra no calificada contratada entre los km del ducto de tal estudio. Se tomaron como referencia los estudios de Gibraltar - Bucaramanga (LAM 3952 - ANLA) y Mariquita - Pereira (LAM 0069 -ANLA), donde el primero tiene un total de 513 trabajadores en todos los tramos del ducto considerados que suman 190 km para un promedio de 2,7 trabajadores por km de línea, mientras que en el segundo tiene un total de 543  trabajadores en los tramos de líneas correspondientes que suman 155 km de  para un promedio de 3,5 trabajadores por km de línea. Haciendo un promedio de estos dos resultados, tenemos que se contratan, según los estudios de referencia, 3 trabajadores por km de ducto.</w:t>
      </w:r>
    </w:p>
  </w:footnote>
  <w:footnote w:id="4">
    <w:p w14:paraId="60B78053" w14:textId="77777777" w:rsidR="0018024E" w:rsidRPr="00A57985" w:rsidRDefault="0018024E" w:rsidP="00A57985">
      <w:pPr>
        <w:pStyle w:val="Textonotapie"/>
        <w:jc w:val="both"/>
        <w:rPr>
          <w:rFonts w:ascii="Arial" w:hAnsi="Arial" w:cs="Arial"/>
          <w:sz w:val="18"/>
          <w:szCs w:val="18"/>
        </w:rPr>
      </w:pPr>
      <w:r w:rsidRPr="00A57985">
        <w:rPr>
          <w:rStyle w:val="Refdenotaalpie"/>
          <w:rFonts w:ascii="Arial" w:hAnsi="Arial" w:cs="Arial"/>
          <w:sz w:val="18"/>
          <w:szCs w:val="18"/>
        </w:rPr>
        <w:footnoteRef/>
      </w:r>
      <w:r w:rsidRPr="00A57985">
        <w:rPr>
          <w:rFonts w:ascii="Arial" w:hAnsi="Arial" w:cs="Arial"/>
          <w:sz w:val="18"/>
          <w:szCs w:val="18"/>
        </w:rPr>
        <w:t xml:space="preserve"> Matriz insumo-producto interregional para Colombia; Eduardo Haddad* </w:t>
      </w:r>
      <w:proofErr w:type="spellStart"/>
      <w:r w:rsidRPr="00A57985">
        <w:rPr>
          <w:rFonts w:ascii="Arial" w:hAnsi="Arial" w:cs="Arial"/>
          <w:sz w:val="18"/>
          <w:szCs w:val="18"/>
        </w:rPr>
        <w:t>Weslem</w:t>
      </w:r>
      <w:proofErr w:type="spellEnd"/>
      <w:r w:rsidRPr="00A57985">
        <w:rPr>
          <w:rFonts w:ascii="Arial" w:hAnsi="Arial" w:cs="Arial"/>
          <w:sz w:val="18"/>
          <w:szCs w:val="18"/>
        </w:rPr>
        <w:t xml:space="preserve"> Faria, Luis Armando Galvis-Aponte, Lucas Wilfried Hahn-De-Castro, revista de economía del caribe </w:t>
      </w:r>
      <w:proofErr w:type="spellStart"/>
      <w:r w:rsidRPr="00A57985">
        <w:rPr>
          <w:rFonts w:ascii="Arial" w:hAnsi="Arial" w:cs="Arial"/>
          <w:sz w:val="18"/>
          <w:szCs w:val="18"/>
        </w:rPr>
        <w:t>n°</w:t>
      </w:r>
      <w:proofErr w:type="spellEnd"/>
      <w:r w:rsidRPr="00A57985">
        <w:rPr>
          <w:rFonts w:ascii="Arial" w:hAnsi="Arial" w:cs="Arial"/>
          <w:sz w:val="18"/>
          <w:szCs w:val="18"/>
        </w:rPr>
        <w:t>. 21, 2017.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3E470" w14:textId="2AC8533C" w:rsidR="0079710C" w:rsidRDefault="0079710C" w:rsidP="0079710C">
    <w:pPr>
      <w:pStyle w:val="Encabezado"/>
      <w:jc w:val="right"/>
    </w:pPr>
    <w:r w:rsidRPr="0079710C">
      <w:rPr>
        <w:noProof/>
      </w:rPr>
      <w:drawing>
        <wp:anchor distT="0" distB="0" distL="114300" distR="114300" simplePos="0" relativeHeight="251659264" behindDoc="0" locked="0" layoutInCell="1" allowOverlap="1" wp14:anchorId="76DDF078" wp14:editId="34DEBFB3">
          <wp:simplePos x="0" y="0"/>
          <wp:positionH relativeFrom="margin">
            <wp:posOffset>-292100</wp:posOffset>
          </wp:positionH>
          <wp:positionV relativeFrom="margin">
            <wp:posOffset>-635000</wp:posOffset>
          </wp:positionV>
          <wp:extent cx="1027435" cy="376196"/>
          <wp:effectExtent l="0" t="0" r="0" b="5080"/>
          <wp:wrapSquare wrapText="bothSides"/>
          <wp:docPr id="7" name="Google Shape;85;p17"/>
          <wp:cNvGraphicFramePr/>
          <a:graphic xmlns:a="http://schemas.openxmlformats.org/drawingml/2006/main">
            <a:graphicData uri="http://schemas.openxmlformats.org/drawingml/2006/picture">
              <pic:pic xmlns:pic="http://schemas.openxmlformats.org/drawingml/2006/picture">
                <pic:nvPicPr>
                  <pic:cNvPr id="7" name="Google Shape;85;p17"/>
                  <pic:cNvPicPr preferRelativeResize="0"/>
                </pic:nvPicPr>
                <pic:blipFill>
                  <a:blip r:embed="rId1">
                    <a:alphaModFix/>
                    <a:extLst>
                      <a:ext uri="{28A0092B-C50C-407E-A947-70E740481C1C}">
                        <a14:useLocalDpi xmlns:a14="http://schemas.microsoft.com/office/drawing/2010/main" val="0"/>
                      </a:ext>
                    </a:extLst>
                  </a:blip>
                  <a:stretch>
                    <a:fillRect/>
                  </a:stretch>
                </pic:blipFill>
                <pic:spPr>
                  <a:xfrm>
                    <a:off x="0" y="0"/>
                    <a:ext cx="1027435" cy="376196"/>
                  </a:xfrm>
                  <a:prstGeom prst="rect">
                    <a:avLst/>
                  </a:prstGeom>
                  <a:noFill/>
                  <a:ln>
                    <a:noFill/>
                  </a:ln>
                </pic:spPr>
              </pic:pic>
            </a:graphicData>
          </a:graphic>
        </wp:anchor>
      </w:drawing>
    </w:r>
    <w:r w:rsidRPr="0079710C">
      <w:rPr>
        <w:noProof/>
      </w:rPr>
      <w:drawing>
        <wp:anchor distT="0" distB="0" distL="114300" distR="114300" simplePos="0" relativeHeight="251658240" behindDoc="0" locked="0" layoutInCell="1" allowOverlap="1" wp14:anchorId="77869B37" wp14:editId="64D6D044">
          <wp:simplePos x="0" y="0"/>
          <wp:positionH relativeFrom="margin">
            <wp:posOffset>4222750</wp:posOffset>
          </wp:positionH>
          <wp:positionV relativeFrom="margin">
            <wp:posOffset>-827405</wp:posOffset>
          </wp:positionV>
          <wp:extent cx="1366520" cy="767715"/>
          <wp:effectExtent l="0" t="0" r="0" b="0"/>
          <wp:wrapSquare wrapText="bothSides"/>
          <wp:docPr id="6" name="Google Shape;78;p16"/>
          <wp:cNvGraphicFramePr/>
          <a:graphic xmlns:a="http://schemas.openxmlformats.org/drawingml/2006/main">
            <a:graphicData uri="http://schemas.openxmlformats.org/drawingml/2006/picture">
              <pic:pic xmlns:pic="http://schemas.openxmlformats.org/drawingml/2006/picture">
                <pic:nvPicPr>
                  <pic:cNvPr id="6" name="Google Shape;78;p16"/>
                  <pic:cNvPicPr preferRelativeResize="0"/>
                </pic:nvPicPr>
                <pic:blipFill>
                  <a:blip r:embed="rId2">
                    <a:alphaModFix/>
                    <a:extLst>
                      <a:ext uri="{28A0092B-C50C-407E-A947-70E740481C1C}">
                        <a14:useLocalDpi xmlns:a14="http://schemas.microsoft.com/office/drawing/2010/main" val="0"/>
                      </a:ext>
                    </a:extLst>
                  </a:blip>
                  <a:stretch>
                    <a:fillRect/>
                  </a:stretch>
                </pic:blipFill>
                <pic:spPr>
                  <a:xfrm>
                    <a:off x="0" y="0"/>
                    <a:ext cx="1366520" cy="767715"/>
                  </a:xfrm>
                  <a:prstGeom prst="rect">
                    <a:avLst/>
                  </a:prstGeom>
                  <a:noFill/>
                  <a:ln>
                    <a:noFill/>
                  </a:ln>
                </pic:spPr>
              </pic:pic>
            </a:graphicData>
          </a:graphic>
        </wp:anchor>
      </w:drawing>
    </w:r>
    <w:r w:rsidRPr="0079710C">
      <w:rPr>
        <w:rFonts w:asciiTheme="minorHAnsi" w:eastAsiaTheme="minorHAnsi" w:hAnsiTheme="minorHAnsi" w:cstheme="minorBidi"/>
        <w:noProof/>
        <w:sz w:val="22"/>
        <w:szCs w:val="22"/>
        <w:lang w:eastAsia="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F7BD8"/>
    <w:multiLevelType w:val="hybridMultilevel"/>
    <w:tmpl w:val="80A827FA"/>
    <w:lvl w:ilvl="0" w:tplc="FFFFFFFF">
      <w:start w:val="1"/>
      <w:numFmt w:val="lowerLetter"/>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ACB4506"/>
    <w:multiLevelType w:val="hybridMultilevel"/>
    <w:tmpl w:val="8CDEAA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C42699C"/>
    <w:multiLevelType w:val="multilevel"/>
    <w:tmpl w:val="84426B9E"/>
    <w:lvl w:ilvl="0">
      <w:start w:val="4"/>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2C1417"/>
    <w:multiLevelType w:val="multilevel"/>
    <w:tmpl w:val="F634AC28"/>
    <w:lvl w:ilvl="0">
      <w:start w:val="4"/>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172CB5"/>
    <w:multiLevelType w:val="hybridMultilevel"/>
    <w:tmpl w:val="32902610"/>
    <w:lvl w:ilvl="0" w:tplc="FFFFFFFF">
      <w:start w:val="1"/>
      <w:numFmt w:val="lowerLetter"/>
      <w:lvlText w:val="%1."/>
      <w:lvlJc w:val="left"/>
      <w:pPr>
        <w:ind w:left="720" w:hanging="360"/>
      </w:pPr>
      <w:rPr>
        <w:sz w:val="22"/>
        <w:szCs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1A4954"/>
    <w:multiLevelType w:val="hybridMultilevel"/>
    <w:tmpl w:val="A476D9B0"/>
    <w:lvl w:ilvl="0" w:tplc="EEA26C34">
      <w:start w:val="1"/>
      <w:numFmt w:val="decimal"/>
      <w:lvlText w:val="%1."/>
      <w:lvlJc w:val="left"/>
      <w:pPr>
        <w:ind w:left="888" w:hanging="360"/>
      </w:pPr>
      <w:rPr>
        <w:rFonts w:hint="default"/>
        <w:b/>
        <w:bCs/>
      </w:rPr>
    </w:lvl>
    <w:lvl w:ilvl="1" w:tplc="FFFFFFFF" w:tentative="1">
      <w:start w:val="1"/>
      <w:numFmt w:val="lowerLetter"/>
      <w:lvlText w:val="%2."/>
      <w:lvlJc w:val="left"/>
      <w:pPr>
        <w:ind w:left="1608" w:hanging="360"/>
      </w:pPr>
    </w:lvl>
    <w:lvl w:ilvl="2" w:tplc="FFFFFFFF" w:tentative="1">
      <w:start w:val="1"/>
      <w:numFmt w:val="lowerRoman"/>
      <w:lvlText w:val="%3."/>
      <w:lvlJc w:val="right"/>
      <w:pPr>
        <w:ind w:left="2328" w:hanging="180"/>
      </w:pPr>
    </w:lvl>
    <w:lvl w:ilvl="3" w:tplc="FFFFFFFF" w:tentative="1">
      <w:start w:val="1"/>
      <w:numFmt w:val="decimal"/>
      <w:lvlText w:val="%4."/>
      <w:lvlJc w:val="left"/>
      <w:pPr>
        <w:ind w:left="3048" w:hanging="360"/>
      </w:pPr>
    </w:lvl>
    <w:lvl w:ilvl="4" w:tplc="FFFFFFFF" w:tentative="1">
      <w:start w:val="1"/>
      <w:numFmt w:val="lowerLetter"/>
      <w:lvlText w:val="%5."/>
      <w:lvlJc w:val="left"/>
      <w:pPr>
        <w:ind w:left="3768" w:hanging="360"/>
      </w:pPr>
    </w:lvl>
    <w:lvl w:ilvl="5" w:tplc="FFFFFFFF" w:tentative="1">
      <w:start w:val="1"/>
      <w:numFmt w:val="lowerRoman"/>
      <w:lvlText w:val="%6."/>
      <w:lvlJc w:val="right"/>
      <w:pPr>
        <w:ind w:left="4488" w:hanging="180"/>
      </w:pPr>
    </w:lvl>
    <w:lvl w:ilvl="6" w:tplc="FFFFFFFF" w:tentative="1">
      <w:start w:val="1"/>
      <w:numFmt w:val="decimal"/>
      <w:lvlText w:val="%7."/>
      <w:lvlJc w:val="left"/>
      <w:pPr>
        <w:ind w:left="5208" w:hanging="360"/>
      </w:pPr>
    </w:lvl>
    <w:lvl w:ilvl="7" w:tplc="FFFFFFFF" w:tentative="1">
      <w:start w:val="1"/>
      <w:numFmt w:val="lowerLetter"/>
      <w:lvlText w:val="%8."/>
      <w:lvlJc w:val="left"/>
      <w:pPr>
        <w:ind w:left="5928" w:hanging="360"/>
      </w:pPr>
    </w:lvl>
    <w:lvl w:ilvl="8" w:tplc="FFFFFFFF" w:tentative="1">
      <w:start w:val="1"/>
      <w:numFmt w:val="lowerRoman"/>
      <w:lvlText w:val="%9."/>
      <w:lvlJc w:val="right"/>
      <w:pPr>
        <w:ind w:left="6648" w:hanging="180"/>
      </w:pPr>
    </w:lvl>
  </w:abstractNum>
  <w:abstractNum w:abstractNumId="6" w15:restartNumberingAfterBreak="0">
    <w:nsid w:val="167B2815"/>
    <w:multiLevelType w:val="multilevel"/>
    <w:tmpl w:val="24CCF93C"/>
    <w:lvl w:ilvl="0">
      <w:start w:val="1"/>
      <w:numFmt w:val="lowerRoman"/>
      <w:lvlText w:val="%1."/>
      <w:lvlJc w:val="right"/>
      <w:pPr>
        <w:ind w:left="888" w:hanging="360"/>
      </w:pPr>
      <w:rPr>
        <w:u w:val="none"/>
      </w:rPr>
    </w:lvl>
    <w:lvl w:ilvl="1">
      <w:start w:val="1"/>
      <w:numFmt w:val="lowerLetter"/>
      <w:lvlText w:val="%2."/>
      <w:lvlJc w:val="left"/>
      <w:pPr>
        <w:ind w:left="1662" w:hanging="360"/>
      </w:pPr>
      <w:rPr>
        <w:b/>
        <w:color w:val="193052"/>
        <w:u w:val="none"/>
      </w:rPr>
    </w:lvl>
    <w:lvl w:ilvl="2">
      <w:start w:val="1"/>
      <w:numFmt w:val="lowerRoman"/>
      <w:lvlText w:val="%3."/>
      <w:lvlJc w:val="right"/>
      <w:pPr>
        <w:ind w:left="2328" w:hanging="360"/>
      </w:pPr>
      <w:rPr>
        <w:u w:val="none"/>
      </w:rPr>
    </w:lvl>
    <w:lvl w:ilvl="3">
      <w:start w:val="1"/>
      <w:numFmt w:val="decimal"/>
      <w:lvlText w:val="%4."/>
      <w:lvlJc w:val="left"/>
      <w:pPr>
        <w:ind w:left="3048" w:hanging="360"/>
      </w:pPr>
      <w:rPr>
        <w:u w:val="none"/>
      </w:rPr>
    </w:lvl>
    <w:lvl w:ilvl="4">
      <w:start w:val="1"/>
      <w:numFmt w:val="lowerLetter"/>
      <w:lvlText w:val="%5."/>
      <w:lvlJc w:val="left"/>
      <w:pPr>
        <w:ind w:left="3768" w:hanging="360"/>
      </w:pPr>
      <w:rPr>
        <w:sz w:val="26"/>
        <w:u w:val="none"/>
      </w:rPr>
    </w:lvl>
    <w:lvl w:ilvl="5">
      <w:start w:val="1"/>
      <w:numFmt w:val="lowerRoman"/>
      <w:lvlText w:val="%6."/>
      <w:lvlJc w:val="right"/>
      <w:pPr>
        <w:ind w:left="4488" w:hanging="360"/>
      </w:pPr>
      <w:rPr>
        <w:u w:val="none"/>
      </w:rPr>
    </w:lvl>
    <w:lvl w:ilvl="6">
      <w:start w:val="1"/>
      <w:numFmt w:val="decimal"/>
      <w:lvlText w:val="%7."/>
      <w:lvlJc w:val="left"/>
      <w:pPr>
        <w:ind w:left="5208" w:hanging="360"/>
      </w:pPr>
      <w:rPr>
        <w:u w:val="none"/>
      </w:rPr>
    </w:lvl>
    <w:lvl w:ilvl="7">
      <w:start w:val="1"/>
      <w:numFmt w:val="lowerLetter"/>
      <w:lvlText w:val="%8."/>
      <w:lvlJc w:val="left"/>
      <w:pPr>
        <w:ind w:left="5928" w:hanging="360"/>
      </w:pPr>
      <w:rPr>
        <w:u w:val="none"/>
      </w:rPr>
    </w:lvl>
    <w:lvl w:ilvl="8">
      <w:start w:val="1"/>
      <w:numFmt w:val="lowerRoman"/>
      <w:lvlText w:val="%9."/>
      <w:lvlJc w:val="right"/>
      <w:pPr>
        <w:ind w:left="6648" w:hanging="360"/>
      </w:pPr>
      <w:rPr>
        <w:u w:val="none"/>
      </w:rPr>
    </w:lvl>
  </w:abstractNum>
  <w:abstractNum w:abstractNumId="7" w15:restartNumberingAfterBreak="0">
    <w:nsid w:val="27B50608"/>
    <w:multiLevelType w:val="multilevel"/>
    <w:tmpl w:val="24CCF93C"/>
    <w:lvl w:ilvl="0">
      <w:start w:val="1"/>
      <w:numFmt w:val="lowerRoman"/>
      <w:lvlText w:val="%1."/>
      <w:lvlJc w:val="right"/>
      <w:pPr>
        <w:ind w:left="888" w:hanging="360"/>
      </w:pPr>
      <w:rPr>
        <w:u w:val="none"/>
      </w:rPr>
    </w:lvl>
    <w:lvl w:ilvl="1">
      <w:start w:val="1"/>
      <w:numFmt w:val="lowerLetter"/>
      <w:lvlText w:val="%2."/>
      <w:lvlJc w:val="left"/>
      <w:pPr>
        <w:ind w:left="1662" w:hanging="360"/>
      </w:pPr>
      <w:rPr>
        <w:b/>
        <w:color w:val="193052"/>
        <w:u w:val="none"/>
      </w:rPr>
    </w:lvl>
    <w:lvl w:ilvl="2">
      <w:start w:val="1"/>
      <w:numFmt w:val="lowerRoman"/>
      <w:lvlText w:val="%3."/>
      <w:lvlJc w:val="right"/>
      <w:pPr>
        <w:ind w:left="2328" w:hanging="360"/>
      </w:pPr>
      <w:rPr>
        <w:u w:val="none"/>
      </w:rPr>
    </w:lvl>
    <w:lvl w:ilvl="3">
      <w:start w:val="1"/>
      <w:numFmt w:val="decimal"/>
      <w:lvlText w:val="%4."/>
      <w:lvlJc w:val="left"/>
      <w:pPr>
        <w:ind w:left="3048" w:hanging="360"/>
      </w:pPr>
      <w:rPr>
        <w:u w:val="none"/>
      </w:rPr>
    </w:lvl>
    <w:lvl w:ilvl="4">
      <w:start w:val="1"/>
      <w:numFmt w:val="lowerLetter"/>
      <w:lvlText w:val="%5."/>
      <w:lvlJc w:val="left"/>
      <w:pPr>
        <w:ind w:left="3768" w:hanging="360"/>
      </w:pPr>
      <w:rPr>
        <w:sz w:val="26"/>
        <w:u w:val="none"/>
      </w:rPr>
    </w:lvl>
    <w:lvl w:ilvl="5">
      <w:start w:val="1"/>
      <w:numFmt w:val="lowerRoman"/>
      <w:lvlText w:val="%6."/>
      <w:lvlJc w:val="right"/>
      <w:pPr>
        <w:ind w:left="4488" w:hanging="360"/>
      </w:pPr>
      <w:rPr>
        <w:u w:val="none"/>
      </w:rPr>
    </w:lvl>
    <w:lvl w:ilvl="6">
      <w:start w:val="1"/>
      <w:numFmt w:val="decimal"/>
      <w:lvlText w:val="%7."/>
      <w:lvlJc w:val="left"/>
      <w:pPr>
        <w:ind w:left="5208" w:hanging="360"/>
      </w:pPr>
      <w:rPr>
        <w:u w:val="none"/>
      </w:rPr>
    </w:lvl>
    <w:lvl w:ilvl="7">
      <w:start w:val="1"/>
      <w:numFmt w:val="lowerLetter"/>
      <w:lvlText w:val="%8."/>
      <w:lvlJc w:val="left"/>
      <w:pPr>
        <w:ind w:left="5928" w:hanging="360"/>
      </w:pPr>
      <w:rPr>
        <w:u w:val="none"/>
      </w:rPr>
    </w:lvl>
    <w:lvl w:ilvl="8">
      <w:start w:val="1"/>
      <w:numFmt w:val="lowerRoman"/>
      <w:lvlText w:val="%9."/>
      <w:lvlJc w:val="right"/>
      <w:pPr>
        <w:ind w:left="6648" w:hanging="360"/>
      </w:pPr>
      <w:rPr>
        <w:u w:val="none"/>
      </w:rPr>
    </w:lvl>
  </w:abstractNum>
  <w:abstractNum w:abstractNumId="8" w15:restartNumberingAfterBreak="0">
    <w:nsid w:val="29490B98"/>
    <w:multiLevelType w:val="multilevel"/>
    <w:tmpl w:val="24CCF93C"/>
    <w:lvl w:ilvl="0">
      <w:start w:val="1"/>
      <w:numFmt w:val="lowerRoman"/>
      <w:lvlText w:val="%1."/>
      <w:lvlJc w:val="right"/>
      <w:pPr>
        <w:ind w:left="888" w:hanging="360"/>
      </w:pPr>
      <w:rPr>
        <w:u w:val="none"/>
      </w:rPr>
    </w:lvl>
    <w:lvl w:ilvl="1">
      <w:start w:val="1"/>
      <w:numFmt w:val="lowerLetter"/>
      <w:lvlText w:val="%2."/>
      <w:lvlJc w:val="left"/>
      <w:pPr>
        <w:ind w:left="1662" w:hanging="360"/>
      </w:pPr>
      <w:rPr>
        <w:b/>
        <w:color w:val="193052"/>
        <w:u w:val="none"/>
      </w:rPr>
    </w:lvl>
    <w:lvl w:ilvl="2">
      <w:start w:val="1"/>
      <w:numFmt w:val="lowerRoman"/>
      <w:lvlText w:val="%3."/>
      <w:lvlJc w:val="right"/>
      <w:pPr>
        <w:ind w:left="2328" w:hanging="360"/>
      </w:pPr>
      <w:rPr>
        <w:u w:val="none"/>
      </w:rPr>
    </w:lvl>
    <w:lvl w:ilvl="3">
      <w:start w:val="1"/>
      <w:numFmt w:val="decimal"/>
      <w:lvlText w:val="%4."/>
      <w:lvlJc w:val="left"/>
      <w:pPr>
        <w:ind w:left="3048" w:hanging="360"/>
      </w:pPr>
      <w:rPr>
        <w:u w:val="none"/>
      </w:rPr>
    </w:lvl>
    <w:lvl w:ilvl="4">
      <w:start w:val="1"/>
      <w:numFmt w:val="lowerLetter"/>
      <w:lvlText w:val="%5."/>
      <w:lvlJc w:val="left"/>
      <w:pPr>
        <w:ind w:left="3768" w:hanging="360"/>
      </w:pPr>
      <w:rPr>
        <w:sz w:val="26"/>
        <w:u w:val="none"/>
      </w:rPr>
    </w:lvl>
    <w:lvl w:ilvl="5">
      <w:start w:val="1"/>
      <w:numFmt w:val="lowerRoman"/>
      <w:lvlText w:val="%6."/>
      <w:lvlJc w:val="right"/>
      <w:pPr>
        <w:ind w:left="4488" w:hanging="360"/>
      </w:pPr>
      <w:rPr>
        <w:u w:val="none"/>
      </w:rPr>
    </w:lvl>
    <w:lvl w:ilvl="6">
      <w:start w:val="1"/>
      <w:numFmt w:val="decimal"/>
      <w:lvlText w:val="%7."/>
      <w:lvlJc w:val="left"/>
      <w:pPr>
        <w:ind w:left="5208" w:hanging="360"/>
      </w:pPr>
      <w:rPr>
        <w:u w:val="none"/>
      </w:rPr>
    </w:lvl>
    <w:lvl w:ilvl="7">
      <w:start w:val="1"/>
      <w:numFmt w:val="lowerLetter"/>
      <w:lvlText w:val="%8."/>
      <w:lvlJc w:val="left"/>
      <w:pPr>
        <w:ind w:left="5928" w:hanging="360"/>
      </w:pPr>
      <w:rPr>
        <w:u w:val="none"/>
      </w:rPr>
    </w:lvl>
    <w:lvl w:ilvl="8">
      <w:start w:val="1"/>
      <w:numFmt w:val="lowerRoman"/>
      <w:lvlText w:val="%9."/>
      <w:lvlJc w:val="right"/>
      <w:pPr>
        <w:ind w:left="6648" w:hanging="360"/>
      </w:pPr>
      <w:rPr>
        <w:u w:val="none"/>
      </w:rPr>
    </w:lvl>
  </w:abstractNum>
  <w:abstractNum w:abstractNumId="9" w15:restartNumberingAfterBreak="0">
    <w:nsid w:val="2F5B771D"/>
    <w:multiLevelType w:val="multilevel"/>
    <w:tmpl w:val="24CCF93C"/>
    <w:lvl w:ilvl="0">
      <w:start w:val="1"/>
      <w:numFmt w:val="lowerRoman"/>
      <w:lvlText w:val="%1."/>
      <w:lvlJc w:val="right"/>
      <w:pPr>
        <w:ind w:left="888" w:hanging="360"/>
      </w:pPr>
      <w:rPr>
        <w:u w:val="none"/>
      </w:rPr>
    </w:lvl>
    <w:lvl w:ilvl="1">
      <w:start w:val="1"/>
      <w:numFmt w:val="lowerLetter"/>
      <w:lvlText w:val="%2."/>
      <w:lvlJc w:val="left"/>
      <w:pPr>
        <w:ind w:left="1662" w:hanging="360"/>
      </w:pPr>
      <w:rPr>
        <w:b/>
        <w:color w:val="193052"/>
        <w:u w:val="none"/>
      </w:rPr>
    </w:lvl>
    <w:lvl w:ilvl="2">
      <w:start w:val="1"/>
      <w:numFmt w:val="lowerRoman"/>
      <w:lvlText w:val="%3."/>
      <w:lvlJc w:val="right"/>
      <w:pPr>
        <w:ind w:left="2328" w:hanging="360"/>
      </w:pPr>
      <w:rPr>
        <w:u w:val="none"/>
      </w:rPr>
    </w:lvl>
    <w:lvl w:ilvl="3">
      <w:start w:val="1"/>
      <w:numFmt w:val="decimal"/>
      <w:lvlText w:val="%4."/>
      <w:lvlJc w:val="left"/>
      <w:pPr>
        <w:ind w:left="3048" w:hanging="360"/>
      </w:pPr>
      <w:rPr>
        <w:u w:val="none"/>
      </w:rPr>
    </w:lvl>
    <w:lvl w:ilvl="4">
      <w:start w:val="1"/>
      <w:numFmt w:val="lowerLetter"/>
      <w:lvlText w:val="%5."/>
      <w:lvlJc w:val="left"/>
      <w:pPr>
        <w:ind w:left="3768" w:hanging="360"/>
      </w:pPr>
      <w:rPr>
        <w:sz w:val="26"/>
        <w:u w:val="none"/>
      </w:rPr>
    </w:lvl>
    <w:lvl w:ilvl="5">
      <w:start w:val="1"/>
      <w:numFmt w:val="lowerRoman"/>
      <w:lvlText w:val="%6."/>
      <w:lvlJc w:val="right"/>
      <w:pPr>
        <w:ind w:left="4488" w:hanging="360"/>
      </w:pPr>
      <w:rPr>
        <w:u w:val="none"/>
      </w:rPr>
    </w:lvl>
    <w:lvl w:ilvl="6">
      <w:start w:val="1"/>
      <w:numFmt w:val="decimal"/>
      <w:lvlText w:val="%7."/>
      <w:lvlJc w:val="left"/>
      <w:pPr>
        <w:ind w:left="5208" w:hanging="360"/>
      </w:pPr>
      <w:rPr>
        <w:u w:val="none"/>
      </w:rPr>
    </w:lvl>
    <w:lvl w:ilvl="7">
      <w:start w:val="1"/>
      <w:numFmt w:val="lowerLetter"/>
      <w:lvlText w:val="%8."/>
      <w:lvlJc w:val="left"/>
      <w:pPr>
        <w:ind w:left="5928" w:hanging="360"/>
      </w:pPr>
      <w:rPr>
        <w:u w:val="none"/>
      </w:rPr>
    </w:lvl>
    <w:lvl w:ilvl="8">
      <w:start w:val="1"/>
      <w:numFmt w:val="lowerRoman"/>
      <w:lvlText w:val="%9."/>
      <w:lvlJc w:val="right"/>
      <w:pPr>
        <w:ind w:left="6648" w:hanging="360"/>
      </w:pPr>
      <w:rPr>
        <w:u w:val="none"/>
      </w:rPr>
    </w:lvl>
  </w:abstractNum>
  <w:abstractNum w:abstractNumId="10" w15:restartNumberingAfterBreak="0">
    <w:nsid w:val="357D4203"/>
    <w:multiLevelType w:val="multilevel"/>
    <w:tmpl w:val="24CCF93C"/>
    <w:lvl w:ilvl="0">
      <w:start w:val="1"/>
      <w:numFmt w:val="lowerRoman"/>
      <w:lvlText w:val="%1."/>
      <w:lvlJc w:val="right"/>
      <w:pPr>
        <w:ind w:left="888" w:hanging="360"/>
      </w:pPr>
      <w:rPr>
        <w:u w:val="none"/>
      </w:rPr>
    </w:lvl>
    <w:lvl w:ilvl="1">
      <w:start w:val="1"/>
      <w:numFmt w:val="lowerLetter"/>
      <w:lvlText w:val="%2."/>
      <w:lvlJc w:val="left"/>
      <w:pPr>
        <w:ind w:left="1662" w:hanging="360"/>
      </w:pPr>
      <w:rPr>
        <w:b/>
        <w:color w:val="193052"/>
        <w:u w:val="none"/>
      </w:rPr>
    </w:lvl>
    <w:lvl w:ilvl="2">
      <w:start w:val="1"/>
      <w:numFmt w:val="lowerRoman"/>
      <w:lvlText w:val="%3."/>
      <w:lvlJc w:val="right"/>
      <w:pPr>
        <w:ind w:left="2328" w:hanging="360"/>
      </w:pPr>
      <w:rPr>
        <w:u w:val="none"/>
      </w:rPr>
    </w:lvl>
    <w:lvl w:ilvl="3">
      <w:start w:val="1"/>
      <w:numFmt w:val="decimal"/>
      <w:lvlText w:val="%4."/>
      <w:lvlJc w:val="left"/>
      <w:pPr>
        <w:ind w:left="3048" w:hanging="360"/>
      </w:pPr>
      <w:rPr>
        <w:u w:val="none"/>
      </w:rPr>
    </w:lvl>
    <w:lvl w:ilvl="4">
      <w:start w:val="1"/>
      <w:numFmt w:val="lowerLetter"/>
      <w:lvlText w:val="%5."/>
      <w:lvlJc w:val="left"/>
      <w:pPr>
        <w:ind w:left="3768" w:hanging="360"/>
      </w:pPr>
      <w:rPr>
        <w:sz w:val="26"/>
        <w:u w:val="none"/>
      </w:rPr>
    </w:lvl>
    <w:lvl w:ilvl="5">
      <w:start w:val="1"/>
      <w:numFmt w:val="lowerRoman"/>
      <w:lvlText w:val="%6."/>
      <w:lvlJc w:val="right"/>
      <w:pPr>
        <w:ind w:left="4488" w:hanging="360"/>
      </w:pPr>
      <w:rPr>
        <w:u w:val="none"/>
      </w:rPr>
    </w:lvl>
    <w:lvl w:ilvl="6">
      <w:start w:val="1"/>
      <w:numFmt w:val="decimal"/>
      <w:lvlText w:val="%7."/>
      <w:lvlJc w:val="left"/>
      <w:pPr>
        <w:ind w:left="5208" w:hanging="360"/>
      </w:pPr>
      <w:rPr>
        <w:u w:val="none"/>
      </w:rPr>
    </w:lvl>
    <w:lvl w:ilvl="7">
      <w:start w:val="1"/>
      <w:numFmt w:val="lowerLetter"/>
      <w:lvlText w:val="%8."/>
      <w:lvlJc w:val="left"/>
      <w:pPr>
        <w:ind w:left="5928" w:hanging="360"/>
      </w:pPr>
      <w:rPr>
        <w:u w:val="none"/>
      </w:rPr>
    </w:lvl>
    <w:lvl w:ilvl="8">
      <w:start w:val="1"/>
      <w:numFmt w:val="lowerRoman"/>
      <w:lvlText w:val="%9."/>
      <w:lvlJc w:val="right"/>
      <w:pPr>
        <w:ind w:left="6648" w:hanging="360"/>
      </w:pPr>
      <w:rPr>
        <w:u w:val="none"/>
      </w:rPr>
    </w:lvl>
  </w:abstractNum>
  <w:abstractNum w:abstractNumId="11" w15:restartNumberingAfterBreak="0">
    <w:nsid w:val="44F64A71"/>
    <w:multiLevelType w:val="multilevel"/>
    <w:tmpl w:val="24CCF93C"/>
    <w:lvl w:ilvl="0">
      <w:start w:val="1"/>
      <w:numFmt w:val="lowerRoman"/>
      <w:lvlText w:val="%1."/>
      <w:lvlJc w:val="right"/>
      <w:pPr>
        <w:ind w:left="888" w:hanging="360"/>
      </w:pPr>
      <w:rPr>
        <w:u w:val="none"/>
      </w:rPr>
    </w:lvl>
    <w:lvl w:ilvl="1">
      <w:start w:val="1"/>
      <w:numFmt w:val="lowerLetter"/>
      <w:lvlText w:val="%2."/>
      <w:lvlJc w:val="left"/>
      <w:pPr>
        <w:ind w:left="1662" w:hanging="360"/>
      </w:pPr>
      <w:rPr>
        <w:b/>
        <w:color w:val="193052"/>
        <w:u w:val="none"/>
      </w:rPr>
    </w:lvl>
    <w:lvl w:ilvl="2">
      <w:start w:val="1"/>
      <w:numFmt w:val="lowerRoman"/>
      <w:lvlText w:val="%3."/>
      <w:lvlJc w:val="right"/>
      <w:pPr>
        <w:ind w:left="2328" w:hanging="360"/>
      </w:pPr>
      <w:rPr>
        <w:u w:val="none"/>
      </w:rPr>
    </w:lvl>
    <w:lvl w:ilvl="3">
      <w:start w:val="1"/>
      <w:numFmt w:val="decimal"/>
      <w:lvlText w:val="%4."/>
      <w:lvlJc w:val="left"/>
      <w:pPr>
        <w:ind w:left="3048" w:hanging="360"/>
      </w:pPr>
      <w:rPr>
        <w:u w:val="none"/>
      </w:rPr>
    </w:lvl>
    <w:lvl w:ilvl="4">
      <w:start w:val="1"/>
      <w:numFmt w:val="lowerLetter"/>
      <w:lvlText w:val="%5."/>
      <w:lvlJc w:val="left"/>
      <w:pPr>
        <w:ind w:left="3768" w:hanging="360"/>
      </w:pPr>
      <w:rPr>
        <w:sz w:val="26"/>
        <w:u w:val="none"/>
      </w:rPr>
    </w:lvl>
    <w:lvl w:ilvl="5">
      <w:start w:val="1"/>
      <w:numFmt w:val="lowerRoman"/>
      <w:lvlText w:val="%6."/>
      <w:lvlJc w:val="right"/>
      <w:pPr>
        <w:ind w:left="4488" w:hanging="360"/>
      </w:pPr>
      <w:rPr>
        <w:u w:val="none"/>
      </w:rPr>
    </w:lvl>
    <w:lvl w:ilvl="6">
      <w:start w:val="1"/>
      <w:numFmt w:val="decimal"/>
      <w:lvlText w:val="%7."/>
      <w:lvlJc w:val="left"/>
      <w:pPr>
        <w:ind w:left="5208" w:hanging="360"/>
      </w:pPr>
      <w:rPr>
        <w:u w:val="none"/>
      </w:rPr>
    </w:lvl>
    <w:lvl w:ilvl="7">
      <w:start w:val="1"/>
      <w:numFmt w:val="lowerLetter"/>
      <w:lvlText w:val="%8."/>
      <w:lvlJc w:val="left"/>
      <w:pPr>
        <w:ind w:left="5928" w:hanging="360"/>
      </w:pPr>
      <w:rPr>
        <w:u w:val="none"/>
      </w:rPr>
    </w:lvl>
    <w:lvl w:ilvl="8">
      <w:start w:val="1"/>
      <w:numFmt w:val="lowerRoman"/>
      <w:lvlText w:val="%9."/>
      <w:lvlJc w:val="right"/>
      <w:pPr>
        <w:ind w:left="6648" w:hanging="360"/>
      </w:pPr>
      <w:rPr>
        <w:u w:val="none"/>
      </w:rPr>
    </w:lvl>
  </w:abstractNum>
  <w:abstractNum w:abstractNumId="12" w15:restartNumberingAfterBreak="0">
    <w:nsid w:val="458B37DB"/>
    <w:multiLevelType w:val="hybridMultilevel"/>
    <w:tmpl w:val="EDC2BC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573562A5"/>
    <w:multiLevelType w:val="multilevel"/>
    <w:tmpl w:val="24CCF93C"/>
    <w:lvl w:ilvl="0">
      <w:start w:val="1"/>
      <w:numFmt w:val="lowerRoman"/>
      <w:lvlText w:val="%1."/>
      <w:lvlJc w:val="right"/>
      <w:pPr>
        <w:ind w:left="888" w:hanging="360"/>
      </w:pPr>
      <w:rPr>
        <w:u w:val="none"/>
      </w:rPr>
    </w:lvl>
    <w:lvl w:ilvl="1">
      <w:start w:val="1"/>
      <w:numFmt w:val="lowerLetter"/>
      <w:lvlText w:val="%2."/>
      <w:lvlJc w:val="left"/>
      <w:pPr>
        <w:ind w:left="1662" w:hanging="360"/>
      </w:pPr>
      <w:rPr>
        <w:b/>
        <w:color w:val="193052"/>
        <w:u w:val="none"/>
      </w:rPr>
    </w:lvl>
    <w:lvl w:ilvl="2">
      <w:start w:val="1"/>
      <w:numFmt w:val="lowerRoman"/>
      <w:lvlText w:val="%3."/>
      <w:lvlJc w:val="right"/>
      <w:pPr>
        <w:ind w:left="2328" w:hanging="360"/>
      </w:pPr>
      <w:rPr>
        <w:u w:val="none"/>
      </w:rPr>
    </w:lvl>
    <w:lvl w:ilvl="3">
      <w:start w:val="1"/>
      <w:numFmt w:val="decimal"/>
      <w:lvlText w:val="%4."/>
      <w:lvlJc w:val="left"/>
      <w:pPr>
        <w:ind w:left="3048" w:hanging="360"/>
      </w:pPr>
      <w:rPr>
        <w:u w:val="none"/>
      </w:rPr>
    </w:lvl>
    <w:lvl w:ilvl="4">
      <w:start w:val="1"/>
      <w:numFmt w:val="lowerLetter"/>
      <w:lvlText w:val="%5."/>
      <w:lvlJc w:val="left"/>
      <w:pPr>
        <w:ind w:left="3768" w:hanging="360"/>
      </w:pPr>
      <w:rPr>
        <w:sz w:val="26"/>
        <w:u w:val="none"/>
      </w:rPr>
    </w:lvl>
    <w:lvl w:ilvl="5">
      <w:start w:val="1"/>
      <w:numFmt w:val="lowerRoman"/>
      <w:lvlText w:val="%6."/>
      <w:lvlJc w:val="right"/>
      <w:pPr>
        <w:ind w:left="4488" w:hanging="360"/>
      </w:pPr>
      <w:rPr>
        <w:u w:val="none"/>
      </w:rPr>
    </w:lvl>
    <w:lvl w:ilvl="6">
      <w:start w:val="1"/>
      <w:numFmt w:val="decimal"/>
      <w:lvlText w:val="%7."/>
      <w:lvlJc w:val="left"/>
      <w:pPr>
        <w:ind w:left="5208" w:hanging="360"/>
      </w:pPr>
      <w:rPr>
        <w:u w:val="none"/>
      </w:rPr>
    </w:lvl>
    <w:lvl w:ilvl="7">
      <w:start w:val="1"/>
      <w:numFmt w:val="lowerLetter"/>
      <w:lvlText w:val="%8."/>
      <w:lvlJc w:val="left"/>
      <w:pPr>
        <w:ind w:left="5928" w:hanging="360"/>
      </w:pPr>
      <w:rPr>
        <w:u w:val="none"/>
      </w:rPr>
    </w:lvl>
    <w:lvl w:ilvl="8">
      <w:start w:val="1"/>
      <w:numFmt w:val="lowerRoman"/>
      <w:lvlText w:val="%9."/>
      <w:lvlJc w:val="right"/>
      <w:pPr>
        <w:ind w:left="6648" w:hanging="360"/>
      </w:pPr>
      <w:rPr>
        <w:u w:val="none"/>
      </w:rPr>
    </w:lvl>
  </w:abstractNum>
  <w:abstractNum w:abstractNumId="14" w15:restartNumberingAfterBreak="0">
    <w:nsid w:val="599F6A47"/>
    <w:multiLevelType w:val="hybridMultilevel"/>
    <w:tmpl w:val="F8EE6040"/>
    <w:lvl w:ilvl="0" w:tplc="25C69886">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 w15:restartNumberingAfterBreak="0">
    <w:nsid w:val="59C82462"/>
    <w:multiLevelType w:val="hybridMultilevel"/>
    <w:tmpl w:val="5DF04C58"/>
    <w:lvl w:ilvl="0" w:tplc="19F065A8">
      <w:start w:val="1"/>
      <w:numFmt w:val="decimal"/>
      <w:lvlText w:val="(%1)"/>
      <w:lvlJc w:val="left"/>
      <w:pPr>
        <w:ind w:left="2629" w:hanging="360"/>
      </w:pPr>
      <w:rPr>
        <w:rFonts w:hint="default"/>
      </w:rPr>
    </w:lvl>
    <w:lvl w:ilvl="1" w:tplc="240A0019" w:tentative="1">
      <w:start w:val="1"/>
      <w:numFmt w:val="lowerLetter"/>
      <w:lvlText w:val="%2."/>
      <w:lvlJc w:val="left"/>
      <w:pPr>
        <w:ind w:left="3349" w:hanging="360"/>
      </w:pPr>
    </w:lvl>
    <w:lvl w:ilvl="2" w:tplc="240A001B" w:tentative="1">
      <w:start w:val="1"/>
      <w:numFmt w:val="lowerRoman"/>
      <w:lvlText w:val="%3."/>
      <w:lvlJc w:val="right"/>
      <w:pPr>
        <w:ind w:left="4069" w:hanging="180"/>
      </w:pPr>
    </w:lvl>
    <w:lvl w:ilvl="3" w:tplc="240A000F" w:tentative="1">
      <w:start w:val="1"/>
      <w:numFmt w:val="decimal"/>
      <w:lvlText w:val="%4."/>
      <w:lvlJc w:val="left"/>
      <w:pPr>
        <w:ind w:left="4789" w:hanging="360"/>
      </w:pPr>
    </w:lvl>
    <w:lvl w:ilvl="4" w:tplc="240A0019" w:tentative="1">
      <w:start w:val="1"/>
      <w:numFmt w:val="lowerLetter"/>
      <w:lvlText w:val="%5."/>
      <w:lvlJc w:val="left"/>
      <w:pPr>
        <w:ind w:left="5509" w:hanging="360"/>
      </w:pPr>
    </w:lvl>
    <w:lvl w:ilvl="5" w:tplc="240A001B" w:tentative="1">
      <w:start w:val="1"/>
      <w:numFmt w:val="lowerRoman"/>
      <w:lvlText w:val="%6."/>
      <w:lvlJc w:val="right"/>
      <w:pPr>
        <w:ind w:left="6229" w:hanging="180"/>
      </w:pPr>
    </w:lvl>
    <w:lvl w:ilvl="6" w:tplc="240A000F" w:tentative="1">
      <w:start w:val="1"/>
      <w:numFmt w:val="decimal"/>
      <w:lvlText w:val="%7."/>
      <w:lvlJc w:val="left"/>
      <w:pPr>
        <w:ind w:left="6949" w:hanging="360"/>
      </w:pPr>
    </w:lvl>
    <w:lvl w:ilvl="7" w:tplc="240A0019" w:tentative="1">
      <w:start w:val="1"/>
      <w:numFmt w:val="lowerLetter"/>
      <w:lvlText w:val="%8."/>
      <w:lvlJc w:val="left"/>
      <w:pPr>
        <w:ind w:left="7669" w:hanging="360"/>
      </w:pPr>
    </w:lvl>
    <w:lvl w:ilvl="8" w:tplc="240A001B" w:tentative="1">
      <w:start w:val="1"/>
      <w:numFmt w:val="lowerRoman"/>
      <w:lvlText w:val="%9."/>
      <w:lvlJc w:val="right"/>
      <w:pPr>
        <w:ind w:left="8389" w:hanging="180"/>
      </w:pPr>
    </w:lvl>
  </w:abstractNum>
  <w:abstractNum w:abstractNumId="16" w15:restartNumberingAfterBreak="0">
    <w:nsid w:val="69593B30"/>
    <w:multiLevelType w:val="multilevel"/>
    <w:tmpl w:val="CEC2665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A68564E"/>
    <w:multiLevelType w:val="multilevel"/>
    <w:tmpl w:val="24CCF93C"/>
    <w:lvl w:ilvl="0">
      <w:start w:val="1"/>
      <w:numFmt w:val="lowerRoman"/>
      <w:lvlText w:val="%1."/>
      <w:lvlJc w:val="right"/>
      <w:pPr>
        <w:ind w:left="888" w:hanging="360"/>
      </w:pPr>
      <w:rPr>
        <w:u w:val="none"/>
      </w:rPr>
    </w:lvl>
    <w:lvl w:ilvl="1">
      <w:start w:val="1"/>
      <w:numFmt w:val="lowerLetter"/>
      <w:lvlText w:val="%2."/>
      <w:lvlJc w:val="left"/>
      <w:pPr>
        <w:ind w:left="1662" w:hanging="360"/>
      </w:pPr>
      <w:rPr>
        <w:b/>
        <w:color w:val="193052"/>
        <w:u w:val="none"/>
      </w:rPr>
    </w:lvl>
    <w:lvl w:ilvl="2">
      <w:start w:val="1"/>
      <w:numFmt w:val="lowerRoman"/>
      <w:lvlText w:val="%3."/>
      <w:lvlJc w:val="right"/>
      <w:pPr>
        <w:ind w:left="2328" w:hanging="360"/>
      </w:pPr>
      <w:rPr>
        <w:u w:val="none"/>
      </w:rPr>
    </w:lvl>
    <w:lvl w:ilvl="3">
      <w:start w:val="1"/>
      <w:numFmt w:val="decimal"/>
      <w:lvlText w:val="%4."/>
      <w:lvlJc w:val="left"/>
      <w:pPr>
        <w:ind w:left="3048" w:hanging="360"/>
      </w:pPr>
      <w:rPr>
        <w:u w:val="none"/>
      </w:rPr>
    </w:lvl>
    <w:lvl w:ilvl="4">
      <w:start w:val="1"/>
      <w:numFmt w:val="lowerLetter"/>
      <w:lvlText w:val="%5."/>
      <w:lvlJc w:val="left"/>
      <w:pPr>
        <w:ind w:left="3768" w:hanging="360"/>
      </w:pPr>
      <w:rPr>
        <w:sz w:val="26"/>
        <w:u w:val="none"/>
      </w:rPr>
    </w:lvl>
    <w:lvl w:ilvl="5">
      <w:start w:val="1"/>
      <w:numFmt w:val="lowerRoman"/>
      <w:lvlText w:val="%6."/>
      <w:lvlJc w:val="right"/>
      <w:pPr>
        <w:ind w:left="4488" w:hanging="360"/>
      </w:pPr>
      <w:rPr>
        <w:u w:val="none"/>
      </w:rPr>
    </w:lvl>
    <w:lvl w:ilvl="6">
      <w:start w:val="1"/>
      <w:numFmt w:val="decimal"/>
      <w:lvlText w:val="%7."/>
      <w:lvlJc w:val="left"/>
      <w:pPr>
        <w:ind w:left="5208" w:hanging="360"/>
      </w:pPr>
      <w:rPr>
        <w:u w:val="none"/>
      </w:rPr>
    </w:lvl>
    <w:lvl w:ilvl="7">
      <w:start w:val="1"/>
      <w:numFmt w:val="lowerLetter"/>
      <w:lvlText w:val="%8."/>
      <w:lvlJc w:val="left"/>
      <w:pPr>
        <w:ind w:left="5928" w:hanging="360"/>
      </w:pPr>
      <w:rPr>
        <w:u w:val="none"/>
      </w:rPr>
    </w:lvl>
    <w:lvl w:ilvl="8">
      <w:start w:val="1"/>
      <w:numFmt w:val="lowerRoman"/>
      <w:lvlText w:val="%9."/>
      <w:lvlJc w:val="right"/>
      <w:pPr>
        <w:ind w:left="6648" w:hanging="360"/>
      </w:pPr>
      <w:rPr>
        <w:u w:val="none"/>
      </w:rPr>
    </w:lvl>
  </w:abstractNum>
  <w:abstractNum w:abstractNumId="18" w15:restartNumberingAfterBreak="0">
    <w:nsid w:val="6CC927B2"/>
    <w:multiLevelType w:val="multilevel"/>
    <w:tmpl w:val="37CAD3C2"/>
    <w:lvl w:ilvl="0">
      <w:start w:val="4"/>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17025C9"/>
    <w:multiLevelType w:val="multilevel"/>
    <w:tmpl w:val="24CCF93C"/>
    <w:lvl w:ilvl="0">
      <w:start w:val="1"/>
      <w:numFmt w:val="lowerRoman"/>
      <w:lvlText w:val="%1."/>
      <w:lvlJc w:val="right"/>
      <w:pPr>
        <w:ind w:left="888" w:hanging="360"/>
      </w:pPr>
      <w:rPr>
        <w:u w:val="none"/>
      </w:rPr>
    </w:lvl>
    <w:lvl w:ilvl="1">
      <w:start w:val="1"/>
      <w:numFmt w:val="lowerLetter"/>
      <w:lvlText w:val="%2."/>
      <w:lvlJc w:val="left"/>
      <w:pPr>
        <w:ind w:left="1662" w:hanging="360"/>
      </w:pPr>
      <w:rPr>
        <w:b/>
        <w:color w:val="193052"/>
        <w:u w:val="none"/>
      </w:rPr>
    </w:lvl>
    <w:lvl w:ilvl="2">
      <w:start w:val="1"/>
      <w:numFmt w:val="lowerRoman"/>
      <w:lvlText w:val="%3."/>
      <w:lvlJc w:val="right"/>
      <w:pPr>
        <w:ind w:left="2328" w:hanging="360"/>
      </w:pPr>
      <w:rPr>
        <w:u w:val="none"/>
      </w:rPr>
    </w:lvl>
    <w:lvl w:ilvl="3">
      <w:start w:val="1"/>
      <w:numFmt w:val="decimal"/>
      <w:lvlText w:val="%4."/>
      <w:lvlJc w:val="left"/>
      <w:pPr>
        <w:ind w:left="3048" w:hanging="360"/>
      </w:pPr>
      <w:rPr>
        <w:u w:val="none"/>
      </w:rPr>
    </w:lvl>
    <w:lvl w:ilvl="4">
      <w:start w:val="1"/>
      <w:numFmt w:val="lowerLetter"/>
      <w:lvlText w:val="%5."/>
      <w:lvlJc w:val="left"/>
      <w:pPr>
        <w:ind w:left="3768" w:hanging="360"/>
      </w:pPr>
      <w:rPr>
        <w:sz w:val="26"/>
        <w:u w:val="none"/>
      </w:rPr>
    </w:lvl>
    <w:lvl w:ilvl="5">
      <w:start w:val="1"/>
      <w:numFmt w:val="lowerRoman"/>
      <w:lvlText w:val="%6."/>
      <w:lvlJc w:val="right"/>
      <w:pPr>
        <w:ind w:left="4488" w:hanging="360"/>
      </w:pPr>
      <w:rPr>
        <w:u w:val="none"/>
      </w:rPr>
    </w:lvl>
    <w:lvl w:ilvl="6">
      <w:start w:val="1"/>
      <w:numFmt w:val="decimal"/>
      <w:lvlText w:val="%7."/>
      <w:lvlJc w:val="left"/>
      <w:pPr>
        <w:ind w:left="5208" w:hanging="360"/>
      </w:pPr>
      <w:rPr>
        <w:u w:val="none"/>
      </w:rPr>
    </w:lvl>
    <w:lvl w:ilvl="7">
      <w:start w:val="1"/>
      <w:numFmt w:val="lowerLetter"/>
      <w:lvlText w:val="%8."/>
      <w:lvlJc w:val="left"/>
      <w:pPr>
        <w:ind w:left="5928" w:hanging="360"/>
      </w:pPr>
      <w:rPr>
        <w:u w:val="none"/>
      </w:rPr>
    </w:lvl>
    <w:lvl w:ilvl="8">
      <w:start w:val="1"/>
      <w:numFmt w:val="lowerRoman"/>
      <w:lvlText w:val="%9."/>
      <w:lvlJc w:val="right"/>
      <w:pPr>
        <w:ind w:left="6648" w:hanging="360"/>
      </w:pPr>
      <w:rPr>
        <w:u w:val="none"/>
      </w:rPr>
    </w:lvl>
  </w:abstractNum>
  <w:abstractNum w:abstractNumId="20" w15:restartNumberingAfterBreak="0">
    <w:nsid w:val="776B1668"/>
    <w:multiLevelType w:val="hybridMultilevel"/>
    <w:tmpl w:val="D242A69A"/>
    <w:lvl w:ilvl="0" w:tplc="EA321956">
      <w:start w:val="1"/>
      <w:numFmt w:val="lowerLetter"/>
      <w:pStyle w:val="Ttulo02"/>
      <w:lvlText w:val="%1."/>
      <w:lvlJc w:val="left"/>
      <w:pPr>
        <w:ind w:left="528" w:hanging="360"/>
      </w:pPr>
      <w:rPr>
        <w:rFonts w:hint="default"/>
        <w:sz w:val="22"/>
        <w:szCs w:val="32"/>
      </w:rPr>
    </w:lvl>
    <w:lvl w:ilvl="1" w:tplc="0D26D11C">
      <w:numFmt w:val="bullet"/>
      <w:lvlText w:val="•"/>
      <w:lvlJc w:val="left"/>
      <w:pPr>
        <w:ind w:left="1248" w:hanging="360"/>
      </w:pPr>
      <w:rPr>
        <w:rFonts w:ascii="Arial" w:eastAsia="Times New Roman" w:hAnsi="Arial" w:cs="Arial" w:hint="default"/>
      </w:rPr>
    </w:lvl>
    <w:lvl w:ilvl="2" w:tplc="FFFFFFFF" w:tentative="1">
      <w:start w:val="1"/>
      <w:numFmt w:val="lowerRoman"/>
      <w:lvlText w:val="%3."/>
      <w:lvlJc w:val="right"/>
      <w:pPr>
        <w:ind w:left="1968" w:hanging="180"/>
      </w:pPr>
    </w:lvl>
    <w:lvl w:ilvl="3" w:tplc="FFFFFFFF" w:tentative="1">
      <w:start w:val="1"/>
      <w:numFmt w:val="decimal"/>
      <w:lvlText w:val="%4."/>
      <w:lvlJc w:val="left"/>
      <w:pPr>
        <w:ind w:left="2688" w:hanging="360"/>
      </w:pPr>
    </w:lvl>
    <w:lvl w:ilvl="4" w:tplc="FFFFFFFF" w:tentative="1">
      <w:start w:val="1"/>
      <w:numFmt w:val="lowerLetter"/>
      <w:lvlText w:val="%5."/>
      <w:lvlJc w:val="left"/>
      <w:pPr>
        <w:ind w:left="3408" w:hanging="360"/>
      </w:pPr>
    </w:lvl>
    <w:lvl w:ilvl="5" w:tplc="FFFFFFFF" w:tentative="1">
      <w:start w:val="1"/>
      <w:numFmt w:val="lowerRoman"/>
      <w:lvlText w:val="%6."/>
      <w:lvlJc w:val="right"/>
      <w:pPr>
        <w:ind w:left="4128" w:hanging="180"/>
      </w:pPr>
    </w:lvl>
    <w:lvl w:ilvl="6" w:tplc="FFFFFFFF" w:tentative="1">
      <w:start w:val="1"/>
      <w:numFmt w:val="decimal"/>
      <w:lvlText w:val="%7."/>
      <w:lvlJc w:val="left"/>
      <w:pPr>
        <w:ind w:left="4848" w:hanging="360"/>
      </w:pPr>
    </w:lvl>
    <w:lvl w:ilvl="7" w:tplc="FFFFFFFF" w:tentative="1">
      <w:start w:val="1"/>
      <w:numFmt w:val="lowerLetter"/>
      <w:lvlText w:val="%8."/>
      <w:lvlJc w:val="left"/>
      <w:pPr>
        <w:ind w:left="5568" w:hanging="360"/>
      </w:pPr>
    </w:lvl>
    <w:lvl w:ilvl="8" w:tplc="FFFFFFFF" w:tentative="1">
      <w:start w:val="1"/>
      <w:numFmt w:val="lowerRoman"/>
      <w:lvlText w:val="%9."/>
      <w:lvlJc w:val="right"/>
      <w:pPr>
        <w:ind w:left="6288" w:hanging="180"/>
      </w:pPr>
    </w:lvl>
  </w:abstractNum>
  <w:abstractNum w:abstractNumId="21" w15:restartNumberingAfterBreak="0">
    <w:nsid w:val="7EA72F2C"/>
    <w:multiLevelType w:val="hybridMultilevel"/>
    <w:tmpl w:val="6F26730C"/>
    <w:lvl w:ilvl="0" w:tplc="FFFFFFFF">
      <w:start w:val="1"/>
      <w:numFmt w:val="lowerLetter"/>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83324873">
    <w:abstractNumId w:val="20"/>
  </w:num>
  <w:num w:numId="2" w16cid:durableId="738093222">
    <w:abstractNumId w:val="21"/>
  </w:num>
  <w:num w:numId="3" w16cid:durableId="2047680744">
    <w:abstractNumId w:val="0"/>
  </w:num>
  <w:num w:numId="4" w16cid:durableId="1893881892">
    <w:abstractNumId w:val="4"/>
  </w:num>
  <w:num w:numId="5" w16cid:durableId="55058619">
    <w:abstractNumId w:val="15"/>
  </w:num>
  <w:num w:numId="6" w16cid:durableId="62602598">
    <w:abstractNumId w:val="14"/>
  </w:num>
  <w:num w:numId="7" w16cid:durableId="1797021335">
    <w:abstractNumId w:val="19"/>
  </w:num>
  <w:num w:numId="8" w16cid:durableId="2073042350">
    <w:abstractNumId w:val="9"/>
  </w:num>
  <w:num w:numId="9" w16cid:durableId="262037070">
    <w:abstractNumId w:val="20"/>
    <w:lvlOverride w:ilvl="0">
      <w:startOverride w:val="1"/>
    </w:lvlOverride>
  </w:num>
  <w:num w:numId="10" w16cid:durableId="144250394">
    <w:abstractNumId w:val="7"/>
  </w:num>
  <w:num w:numId="11" w16cid:durableId="1916551111">
    <w:abstractNumId w:val="20"/>
    <w:lvlOverride w:ilvl="0">
      <w:startOverride w:val="1"/>
    </w:lvlOverride>
  </w:num>
  <w:num w:numId="12" w16cid:durableId="906185285">
    <w:abstractNumId w:val="17"/>
  </w:num>
  <w:num w:numId="13" w16cid:durableId="61754231">
    <w:abstractNumId w:val="11"/>
  </w:num>
  <w:num w:numId="14" w16cid:durableId="1655450048">
    <w:abstractNumId w:val="20"/>
    <w:lvlOverride w:ilvl="0">
      <w:startOverride w:val="1"/>
    </w:lvlOverride>
  </w:num>
  <w:num w:numId="15" w16cid:durableId="283385205">
    <w:abstractNumId w:val="13"/>
  </w:num>
  <w:num w:numId="16" w16cid:durableId="1563564712">
    <w:abstractNumId w:val="20"/>
    <w:lvlOverride w:ilvl="0">
      <w:startOverride w:val="1"/>
    </w:lvlOverride>
  </w:num>
  <w:num w:numId="17" w16cid:durableId="1449278541">
    <w:abstractNumId w:val="10"/>
  </w:num>
  <w:num w:numId="18" w16cid:durableId="450516532">
    <w:abstractNumId w:val="6"/>
  </w:num>
  <w:num w:numId="19" w16cid:durableId="360976831">
    <w:abstractNumId w:val="8"/>
  </w:num>
  <w:num w:numId="20" w16cid:durableId="1798333586">
    <w:abstractNumId w:val="20"/>
    <w:lvlOverride w:ilvl="0">
      <w:startOverride w:val="1"/>
    </w:lvlOverride>
  </w:num>
  <w:num w:numId="21" w16cid:durableId="804004238">
    <w:abstractNumId w:val="20"/>
    <w:lvlOverride w:ilvl="0">
      <w:startOverride w:val="1"/>
    </w:lvlOverride>
  </w:num>
  <w:num w:numId="22" w16cid:durableId="351494430">
    <w:abstractNumId w:val="18"/>
  </w:num>
  <w:num w:numId="23" w16cid:durableId="1307852051">
    <w:abstractNumId w:val="16"/>
  </w:num>
  <w:num w:numId="24" w16cid:durableId="1315916910">
    <w:abstractNumId w:val="3"/>
  </w:num>
  <w:num w:numId="25" w16cid:durableId="711881136">
    <w:abstractNumId w:val="2"/>
  </w:num>
  <w:num w:numId="26" w16cid:durableId="57436564">
    <w:abstractNumId w:val="5"/>
  </w:num>
  <w:num w:numId="27" w16cid:durableId="979730132">
    <w:abstractNumId w:val="1"/>
  </w:num>
  <w:num w:numId="28" w16cid:durableId="1836803300">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D84"/>
    <w:rsid w:val="00012B8F"/>
    <w:rsid w:val="0001385A"/>
    <w:rsid w:val="00036F32"/>
    <w:rsid w:val="00037411"/>
    <w:rsid w:val="00050010"/>
    <w:rsid w:val="000723C3"/>
    <w:rsid w:val="000747F3"/>
    <w:rsid w:val="0007717C"/>
    <w:rsid w:val="00080711"/>
    <w:rsid w:val="00084675"/>
    <w:rsid w:val="000915A0"/>
    <w:rsid w:val="00094D17"/>
    <w:rsid w:val="00097E24"/>
    <w:rsid w:val="000A0449"/>
    <w:rsid w:val="000B3BEA"/>
    <w:rsid w:val="000B52CA"/>
    <w:rsid w:val="000B69CC"/>
    <w:rsid w:val="000C0CBF"/>
    <w:rsid w:val="000C0D84"/>
    <w:rsid w:val="000D416C"/>
    <w:rsid w:val="000F0C96"/>
    <w:rsid w:val="000F2F54"/>
    <w:rsid w:val="000F3A7A"/>
    <w:rsid w:val="000F6703"/>
    <w:rsid w:val="00102D6A"/>
    <w:rsid w:val="00113727"/>
    <w:rsid w:val="00124770"/>
    <w:rsid w:val="00125FA9"/>
    <w:rsid w:val="0012786B"/>
    <w:rsid w:val="00130071"/>
    <w:rsid w:val="001341FA"/>
    <w:rsid w:val="0015505A"/>
    <w:rsid w:val="0016606C"/>
    <w:rsid w:val="001669CA"/>
    <w:rsid w:val="00171E39"/>
    <w:rsid w:val="00173714"/>
    <w:rsid w:val="00175BAF"/>
    <w:rsid w:val="0018024E"/>
    <w:rsid w:val="001842BF"/>
    <w:rsid w:val="001A6EC6"/>
    <w:rsid w:val="001A7DA6"/>
    <w:rsid w:val="001C341B"/>
    <w:rsid w:val="001C5672"/>
    <w:rsid w:val="001E3030"/>
    <w:rsid w:val="002025AF"/>
    <w:rsid w:val="002075A8"/>
    <w:rsid w:val="0021658A"/>
    <w:rsid w:val="002177F7"/>
    <w:rsid w:val="00237E05"/>
    <w:rsid w:val="00240426"/>
    <w:rsid w:val="00241E01"/>
    <w:rsid w:val="00242931"/>
    <w:rsid w:val="00246546"/>
    <w:rsid w:val="002470BF"/>
    <w:rsid w:val="00250C85"/>
    <w:rsid w:val="00254C7E"/>
    <w:rsid w:val="00257F3C"/>
    <w:rsid w:val="0026604B"/>
    <w:rsid w:val="00270CAB"/>
    <w:rsid w:val="002754CE"/>
    <w:rsid w:val="00275F0C"/>
    <w:rsid w:val="002908C8"/>
    <w:rsid w:val="00292AB7"/>
    <w:rsid w:val="00297D52"/>
    <w:rsid w:val="002A341F"/>
    <w:rsid w:val="002A3A9C"/>
    <w:rsid w:val="002B530F"/>
    <w:rsid w:val="002C224D"/>
    <w:rsid w:val="002C5B57"/>
    <w:rsid w:val="002C6C3E"/>
    <w:rsid w:val="002D28A5"/>
    <w:rsid w:val="002D7BB7"/>
    <w:rsid w:val="002E539C"/>
    <w:rsid w:val="002E5AE9"/>
    <w:rsid w:val="002E62A2"/>
    <w:rsid w:val="002F3EE6"/>
    <w:rsid w:val="00305B32"/>
    <w:rsid w:val="003116F8"/>
    <w:rsid w:val="0031535B"/>
    <w:rsid w:val="00321AA6"/>
    <w:rsid w:val="00323765"/>
    <w:rsid w:val="00344DF2"/>
    <w:rsid w:val="00350176"/>
    <w:rsid w:val="00351084"/>
    <w:rsid w:val="003516B5"/>
    <w:rsid w:val="0035397E"/>
    <w:rsid w:val="00356105"/>
    <w:rsid w:val="0035636E"/>
    <w:rsid w:val="00362A70"/>
    <w:rsid w:val="00363404"/>
    <w:rsid w:val="00364BFB"/>
    <w:rsid w:val="00367147"/>
    <w:rsid w:val="00371485"/>
    <w:rsid w:val="003717B0"/>
    <w:rsid w:val="00371F72"/>
    <w:rsid w:val="00375894"/>
    <w:rsid w:val="00375ECC"/>
    <w:rsid w:val="00382FFF"/>
    <w:rsid w:val="00386BD8"/>
    <w:rsid w:val="003B1AE9"/>
    <w:rsid w:val="003B2449"/>
    <w:rsid w:val="003B78ED"/>
    <w:rsid w:val="003C2001"/>
    <w:rsid w:val="003C3B48"/>
    <w:rsid w:val="003D24DA"/>
    <w:rsid w:val="003D3726"/>
    <w:rsid w:val="003D3DE7"/>
    <w:rsid w:val="003D684D"/>
    <w:rsid w:val="003D7762"/>
    <w:rsid w:val="003D7CBF"/>
    <w:rsid w:val="003E1386"/>
    <w:rsid w:val="003E3819"/>
    <w:rsid w:val="003E3E3F"/>
    <w:rsid w:val="003F3BE6"/>
    <w:rsid w:val="004025BD"/>
    <w:rsid w:val="00414FBA"/>
    <w:rsid w:val="0042319D"/>
    <w:rsid w:val="00423CDA"/>
    <w:rsid w:val="00431067"/>
    <w:rsid w:val="00432DC3"/>
    <w:rsid w:val="00453963"/>
    <w:rsid w:val="00461CED"/>
    <w:rsid w:val="004634DA"/>
    <w:rsid w:val="00470DFD"/>
    <w:rsid w:val="00475F13"/>
    <w:rsid w:val="004849A3"/>
    <w:rsid w:val="004A417B"/>
    <w:rsid w:val="004A6370"/>
    <w:rsid w:val="004A7111"/>
    <w:rsid w:val="004B6115"/>
    <w:rsid w:val="004C1254"/>
    <w:rsid w:val="004C28B0"/>
    <w:rsid w:val="004C3D00"/>
    <w:rsid w:val="004C468B"/>
    <w:rsid w:val="004C60EB"/>
    <w:rsid w:val="004D3BE9"/>
    <w:rsid w:val="004D5B24"/>
    <w:rsid w:val="005124D4"/>
    <w:rsid w:val="005214EF"/>
    <w:rsid w:val="00523386"/>
    <w:rsid w:val="00531BB0"/>
    <w:rsid w:val="00535709"/>
    <w:rsid w:val="00537704"/>
    <w:rsid w:val="005412F4"/>
    <w:rsid w:val="005477AE"/>
    <w:rsid w:val="00555057"/>
    <w:rsid w:val="00556895"/>
    <w:rsid w:val="00571329"/>
    <w:rsid w:val="00572CED"/>
    <w:rsid w:val="0057698A"/>
    <w:rsid w:val="00586100"/>
    <w:rsid w:val="0058640A"/>
    <w:rsid w:val="005868EC"/>
    <w:rsid w:val="00586F4F"/>
    <w:rsid w:val="00593B1F"/>
    <w:rsid w:val="00597F73"/>
    <w:rsid w:val="005A0F8C"/>
    <w:rsid w:val="005A2EBD"/>
    <w:rsid w:val="005A37DE"/>
    <w:rsid w:val="005B1855"/>
    <w:rsid w:val="005B3891"/>
    <w:rsid w:val="005C1978"/>
    <w:rsid w:val="005C25C8"/>
    <w:rsid w:val="005C29E0"/>
    <w:rsid w:val="005D5E23"/>
    <w:rsid w:val="005E55B1"/>
    <w:rsid w:val="005F3CBB"/>
    <w:rsid w:val="00602D21"/>
    <w:rsid w:val="006036A7"/>
    <w:rsid w:val="00604F48"/>
    <w:rsid w:val="00613890"/>
    <w:rsid w:val="006322A0"/>
    <w:rsid w:val="00640748"/>
    <w:rsid w:val="00657DD1"/>
    <w:rsid w:val="0066230B"/>
    <w:rsid w:val="0068204C"/>
    <w:rsid w:val="006855FA"/>
    <w:rsid w:val="00687C3A"/>
    <w:rsid w:val="006940C5"/>
    <w:rsid w:val="006A1CC1"/>
    <w:rsid w:val="006A6EF6"/>
    <w:rsid w:val="006B20BD"/>
    <w:rsid w:val="006B42EE"/>
    <w:rsid w:val="006B671F"/>
    <w:rsid w:val="006C30FB"/>
    <w:rsid w:val="006C68A1"/>
    <w:rsid w:val="006D284B"/>
    <w:rsid w:val="006E58E4"/>
    <w:rsid w:val="00703D59"/>
    <w:rsid w:val="00706B59"/>
    <w:rsid w:val="007120A6"/>
    <w:rsid w:val="00716AE5"/>
    <w:rsid w:val="00717F9B"/>
    <w:rsid w:val="00727F0D"/>
    <w:rsid w:val="007338FB"/>
    <w:rsid w:val="007409FE"/>
    <w:rsid w:val="0074475E"/>
    <w:rsid w:val="007464E6"/>
    <w:rsid w:val="0074653C"/>
    <w:rsid w:val="007619B4"/>
    <w:rsid w:val="00762D04"/>
    <w:rsid w:val="00762FEE"/>
    <w:rsid w:val="0077104C"/>
    <w:rsid w:val="00772556"/>
    <w:rsid w:val="00776A81"/>
    <w:rsid w:val="00776C2B"/>
    <w:rsid w:val="0077713A"/>
    <w:rsid w:val="00785434"/>
    <w:rsid w:val="0078766C"/>
    <w:rsid w:val="00787AA5"/>
    <w:rsid w:val="00787E73"/>
    <w:rsid w:val="00792D87"/>
    <w:rsid w:val="0079710C"/>
    <w:rsid w:val="007A1D10"/>
    <w:rsid w:val="007B1CBE"/>
    <w:rsid w:val="007B2CD9"/>
    <w:rsid w:val="007C2EC3"/>
    <w:rsid w:val="007D09F9"/>
    <w:rsid w:val="007D1F70"/>
    <w:rsid w:val="007D387B"/>
    <w:rsid w:val="007F5A3B"/>
    <w:rsid w:val="008004A3"/>
    <w:rsid w:val="008028DF"/>
    <w:rsid w:val="0081138C"/>
    <w:rsid w:val="00817747"/>
    <w:rsid w:val="00824ACD"/>
    <w:rsid w:val="008271FA"/>
    <w:rsid w:val="00827999"/>
    <w:rsid w:val="0083173B"/>
    <w:rsid w:val="00835377"/>
    <w:rsid w:val="00846861"/>
    <w:rsid w:val="0084717B"/>
    <w:rsid w:val="0085384A"/>
    <w:rsid w:val="00853A32"/>
    <w:rsid w:val="00861A2F"/>
    <w:rsid w:val="0086284F"/>
    <w:rsid w:val="00864096"/>
    <w:rsid w:val="008852A3"/>
    <w:rsid w:val="00891E35"/>
    <w:rsid w:val="00892E38"/>
    <w:rsid w:val="0089461D"/>
    <w:rsid w:val="008C0240"/>
    <w:rsid w:val="008C42E5"/>
    <w:rsid w:val="008D3CE3"/>
    <w:rsid w:val="008E48FE"/>
    <w:rsid w:val="008E7214"/>
    <w:rsid w:val="008F1DC4"/>
    <w:rsid w:val="0090648F"/>
    <w:rsid w:val="009065C0"/>
    <w:rsid w:val="00916E5E"/>
    <w:rsid w:val="009179E2"/>
    <w:rsid w:val="009257F7"/>
    <w:rsid w:val="009351A6"/>
    <w:rsid w:val="00941D9A"/>
    <w:rsid w:val="009505D9"/>
    <w:rsid w:val="00956ABE"/>
    <w:rsid w:val="00960A72"/>
    <w:rsid w:val="009714E6"/>
    <w:rsid w:val="00973DC2"/>
    <w:rsid w:val="00991649"/>
    <w:rsid w:val="009971BD"/>
    <w:rsid w:val="009B1EF8"/>
    <w:rsid w:val="009B56A1"/>
    <w:rsid w:val="009C1F65"/>
    <w:rsid w:val="009E132D"/>
    <w:rsid w:val="009F185A"/>
    <w:rsid w:val="009F4DF8"/>
    <w:rsid w:val="00A14E4A"/>
    <w:rsid w:val="00A217E5"/>
    <w:rsid w:val="00A22053"/>
    <w:rsid w:val="00A301D5"/>
    <w:rsid w:val="00A3058C"/>
    <w:rsid w:val="00A372E6"/>
    <w:rsid w:val="00A41867"/>
    <w:rsid w:val="00A44DA6"/>
    <w:rsid w:val="00A51FA6"/>
    <w:rsid w:val="00A54578"/>
    <w:rsid w:val="00A57985"/>
    <w:rsid w:val="00A6393F"/>
    <w:rsid w:val="00A66E37"/>
    <w:rsid w:val="00A71CF0"/>
    <w:rsid w:val="00A72657"/>
    <w:rsid w:val="00A731CF"/>
    <w:rsid w:val="00A73C47"/>
    <w:rsid w:val="00A74CE8"/>
    <w:rsid w:val="00A75E54"/>
    <w:rsid w:val="00A8118F"/>
    <w:rsid w:val="00A8250B"/>
    <w:rsid w:val="00A87A31"/>
    <w:rsid w:val="00AA22E5"/>
    <w:rsid w:val="00AA41B9"/>
    <w:rsid w:val="00AA5744"/>
    <w:rsid w:val="00AC1FDD"/>
    <w:rsid w:val="00AC2A70"/>
    <w:rsid w:val="00AC6594"/>
    <w:rsid w:val="00AD50D6"/>
    <w:rsid w:val="00AD7A62"/>
    <w:rsid w:val="00AE085D"/>
    <w:rsid w:val="00AE5291"/>
    <w:rsid w:val="00AF4CD8"/>
    <w:rsid w:val="00B257A3"/>
    <w:rsid w:val="00B263B3"/>
    <w:rsid w:val="00B271A6"/>
    <w:rsid w:val="00B30BBA"/>
    <w:rsid w:val="00B3212C"/>
    <w:rsid w:val="00B33650"/>
    <w:rsid w:val="00B34C73"/>
    <w:rsid w:val="00B357C2"/>
    <w:rsid w:val="00B41935"/>
    <w:rsid w:val="00B56F7B"/>
    <w:rsid w:val="00B57EAE"/>
    <w:rsid w:val="00B63E54"/>
    <w:rsid w:val="00B65904"/>
    <w:rsid w:val="00B745F1"/>
    <w:rsid w:val="00B85579"/>
    <w:rsid w:val="00B86113"/>
    <w:rsid w:val="00B86445"/>
    <w:rsid w:val="00BA4DB6"/>
    <w:rsid w:val="00BA60F5"/>
    <w:rsid w:val="00BA7490"/>
    <w:rsid w:val="00BB0293"/>
    <w:rsid w:val="00BB0EC0"/>
    <w:rsid w:val="00BB3893"/>
    <w:rsid w:val="00BB4030"/>
    <w:rsid w:val="00BC2068"/>
    <w:rsid w:val="00BC365D"/>
    <w:rsid w:val="00BC3AAB"/>
    <w:rsid w:val="00BD03F2"/>
    <w:rsid w:val="00BD3D61"/>
    <w:rsid w:val="00BE4581"/>
    <w:rsid w:val="00BF4D91"/>
    <w:rsid w:val="00BF7E93"/>
    <w:rsid w:val="00C10C95"/>
    <w:rsid w:val="00C122DF"/>
    <w:rsid w:val="00C308B7"/>
    <w:rsid w:val="00C31FB4"/>
    <w:rsid w:val="00C327E5"/>
    <w:rsid w:val="00C33A6B"/>
    <w:rsid w:val="00C4112F"/>
    <w:rsid w:val="00C4433B"/>
    <w:rsid w:val="00C5206A"/>
    <w:rsid w:val="00C526D9"/>
    <w:rsid w:val="00C5439A"/>
    <w:rsid w:val="00C67BBE"/>
    <w:rsid w:val="00C75C62"/>
    <w:rsid w:val="00C82E4A"/>
    <w:rsid w:val="00C8470C"/>
    <w:rsid w:val="00C87589"/>
    <w:rsid w:val="00C90BFE"/>
    <w:rsid w:val="00CA3A35"/>
    <w:rsid w:val="00CA4E47"/>
    <w:rsid w:val="00CA54EE"/>
    <w:rsid w:val="00CB3C3F"/>
    <w:rsid w:val="00CC0D23"/>
    <w:rsid w:val="00CC1E4F"/>
    <w:rsid w:val="00CD61BC"/>
    <w:rsid w:val="00CE093E"/>
    <w:rsid w:val="00CE4059"/>
    <w:rsid w:val="00CF4BC9"/>
    <w:rsid w:val="00D00ED2"/>
    <w:rsid w:val="00D02F87"/>
    <w:rsid w:val="00D06228"/>
    <w:rsid w:val="00D12140"/>
    <w:rsid w:val="00D141EC"/>
    <w:rsid w:val="00D15747"/>
    <w:rsid w:val="00D25DC7"/>
    <w:rsid w:val="00D33D8A"/>
    <w:rsid w:val="00D34601"/>
    <w:rsid w:val="00D356C5"/>
    <w:rsid w:val="00D35B9C"/>
    <w:rsid w:val="00D44847"/>
    <w:rsid w:val="00D56579"/>
    <w:rsid w:val="00D67717"/>
    <w:rsid w:val="00D7482E"/>
    <w:rsid w:val="00D90EE3"/>
    <w:rsid w:val="00D945AB"/>
    <w:rsid w:val="00D97989"/>
    <w:rsid w:val="00DA67B0"/>
    <w:rsid w:val="00DB468E"/>
    <w:rsid w:val="00DB5138"/>
    <w:rsid w:val="00DB675F"/>
    <w:rsid w:val="00DB6B04"/>
    <w:rsid w:val="00DB6DDE"/>
    <w:rsid w:val="00DC4272"/>
    <w:rsid w:val="00DC7041"/>
    <w:rsid w:val="00DD09D7"/>
    <w:rsid w:val="00DD1E31"/>
    <w:rsid w:val="00DD32BB"/>
    <w:rsid w:val="00DD34F0"/>
    <w:rsid w:val="00DD57B4"/>
    <w:rsid w:val="00DD58DA"/>
    <w:rsid w:val="00DD6898"/>
    <w:rsid w:val="00DE61D4"/>
    <w:rsid w:val="00DF4D3C"/>
    <w:rsid w:val="00DF5D34"/>
    <w:rsid w:val="00DF78C5"/>
    <w:rsid w:val="00E00975"/>
    <w:rsid w:val="00E115F8"/>
    <w:rsid w:val="00E176DB"/>
    <w:rsid w:val="00E17B50"/>
    <w:rsid w:val="00E32D62"/>
    <w:rsid w:val="00E34EF8"/>
    <w:rsid w:val="00E35A99"/>
    <w:rsid w:val="00E36EE3"/>
    <w:rsid w:val="00E466C3"/>
    <w:rsid w:val="00E50010"/>
    <w:rsid w:val="00E52CC6"/>
    <w:rsid w:val="00E55649"/>
    <w:rsid w:val="00E67D24"/>
    <w:rsid w:val="00E70AB1"/>
    <w:rsid w:val="00E76BD7"/>
    <w:rsid w:val="00E838BA"/>
    <w:rsid w:val="00E870E2"/>
    <w:rsid w:val="00E93569"/>
    <w:rsid w:val="00E977F1"/>
    <w:rsid w:val="00EA066C"/>
    <w:rsid w:val="00EB3F0A"/>
    <w:rsid w:val="00ED0F38"/>
    <w:rsid w:val="00ED2BBD"/>
    <w:rsid w:val="00ED5AF7"/>
    <w:rsid w:val="00ED6CFB"/>
    <w:rsid w:val="00EE7DB9"/>
    <w:rsid w:val="00EF700D"/>
    <w:rsid w:val="00F067A0"/>
    <w:rsid w:val="00F10B81"/>
    <w:rsid w:val="00F230D7"/>
    <w:rsid w:val="00F25552"/>
    <w:rsid w:val="00F25B0B"/>
    <w:rsid w:val="00F25FFD"/>
    <w:rsid w:val="00F27360"/>
    <w:rsid w:val="00F323C4"/>
    <w:rsid w:val="00F35473"/>
    <w:rsid w:val="00F36ADB"/>
    <w:rsid w:val="00F37F25"/>
    <w:rsid w:val="00F401E5"/>
    <w:rsid w:val="00F40A1F"/>
    <w:rsid w:val="00F43BE0"/>
    <w:rsid w:val="00F601F1"/>
    <w:rsid w:val="00F63A47"/>
    <w:rsid w:val="00F64517"/>
    <w:rsid w:val="00F836E5"/>
    <w:rsid w:val="00F86EC8"/>
    <w:rsid w:val="00F9660C"/>
    <w:rsid w:val="00F97B3F"/>
    <w:rsid w:val="00FA065E"/>
    <w:rsid w:val="00FB19E8"/>
    <w:rsid w:val="00FB24A8"/>
    <w:rsid w:val="00FC06A2"/>
    <w:rsid w:val="00FC26D9"/>
    <w:rsid w:val="00FD64B2"/>
    <w:rsid w:val="00FE05B0"/>
    <w:rsid w:val="00FE2D00"/>
    <w:rsid w:val="00FF04D4"/>
    <w:rsid w:val="00FF17B5"/>
    <w:rsid w:val="00FF4AE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4502F"/>
  <w15:chartTrackingRefBased/>
  <w15:docId w15:val="{8CBD8419-46A2-4F42-B15D-D97E8EED0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rsid w:val="00824ACD"/>
    <w:pPr>
      <w:keepNext/>
      <w:keepLines/>
      <w:spacing w:before="400" w:after="120" w:line="240" w:lineRule="auto"/>
      <w:outlineLvl w:val="0"/>
    </w:pPr>
    <w:rPr>
      <w:rFonts w:ascii="Times New Roman" w:eastAsia="Times New Roman" w:hAnsi="Times New Roman" w:cs="Times New Roman"/>
      <w:sz w:val="40"/>
      <w:szCs w:val="40"/>
      <w:lang w:eastAsia="es-MX"/>
    </w:rPr>
  </w:style>
  <w:style w:type="paragraph" w:styleId="Ttulo2">
    <w:name w:val="heading 2"/>
    <w:basedOn w:val="Normal"/>
    <w:next w:val="Normal"/>
    <w:link w:val="Ttulo2Car"/>
    <w:rsid w:val="00824ACD"/>
    <w:pPr>
      <w:keepNext/>
      <w:keepLines/>
      <w:spacing w:before="360" w:after="120" w:line="240" w:lineRule="auto"/>
      <w:outlineLvl w:val="1"/>
    </w:pPr>
    <w:rPr>
      <w:rFonts w:ascii="Times New Roman" w:eastAsia="Times New Roman" w:hAnsi="Times New Roman" w:cs="Times New Roman"/>
      <w:sz w:val="32"/>
      <w:szCs w:val="32"/>
      <w:lang w:eastAsia="es-MX"/>
    </w:rPr>
  </w:style>
  <w:style w:type="paragraph" w:styleId="Ttulo3">
    <w:name w:val="heading 3"/>
    <w:basedOn w:val="Normal"/>
    <w:next w:val="Normal"/>
    <w:link w:val="Ttulo3Car"/>
    <w:rsid w:val="00824ACD"/>
    <w:pPr>
      <w:keepNext/>
      <w:keepLines/>
      <w:spacing w:before="320" w:after="80" w:line="240" w:lineRule="auto"/>
      <w:outlineLvl w:val="2"/>
    </w:pPr>
    <w:rPr>
      <w:rFonts w:ascii="Times New Roman" w:eastAsia="Times New Roman" w:hAnsi="Times New Roman" w:cs="Times New Roman"/>
      <w:color w:val="434343"/>
      <w:sz w:val="28"/>
      <w:szCs w:val="28"/>
      <w:lang w:eastAsia="es-MX"/>
    </w:rPr>
  </w:style>
  <w:style w:type="paragraph" w:styleId="Ttulo4">
    <w:name w:val="heading 4"/>
    <w:basedOn w:val="Normal"/>
    <w:next w:val="Normal"/>
    <w:link w:val="Ttulo4Car"/>
    <w:rsid w:val="00824ACD"/>
    <w:pPr>
      <w:keepNext/>
      <w:keepLines/>
      <w:spacing w:before="160" w:after="0" w:line="240" w:lineRule="auto"/>
      <w:outlineLvl w:val="3"/>
    </w:pPr>
    <w:rPr>
      <w:rFonts w:ascii="Times New Roman" w:eastAsia="Times New Roman" w:hAnsi="Times New Roman" w:cs="Times New Roman"/>
      <w:color w:val="666666"/>
      <w:sz w:val="24"/>
      <w:szCs w:val="24"/>
      <w:lang w:eastAsia="es-MX"/>
    </w:rPr>
  </w:style>
  <w:style w:type="paragraph" w:styleId="Ttulo5">
    <w:name w:val="heading 5"/>
    <w:basedOn w:val="Normal"/>
    <w:next w:val="Normal"/>
    <w:link w:val="Ttulo5Car"/>
    <w:rsid w:val="00824ACD"/>
    <w:pPr>
      <w:keepNext/>
      <w:keepLines/>
      <w:spacing w:before="240" w:after="80" w:line="240" w:lineRule="auto"/>
      <w:outlineLvl w:val="4"/>
    </w:pPr>
    <w:rPr>
      <w:rFonts w:ascii="Times New Roman" w:eastAsia="Times New Roman" w:hAnsi="Times New Roman" w:cs="Times New Roman"/>
      <w:color w:val="666666"/>
      <w:sz w:val="24"/>
      <w:szCs w:val="24"/>
      <w:lang w:eastAsia="es-MX"/>
    </w:rPr>
  </w:style>
  <w:style w:type="paragraph" w:styleId="Ttulo6">
    <w:name w:val="heading 6"/>
    <w:basedOn w:val="Normal"/>
    <w:next w:val="Normal"/>
    <w:link w:val="Ttulo6Car"/>
    <w:rsid w:val="00824ACD"/>
    <w:pPr>
      <w:keepNext/>
      <w:keepLines/>
      <w:spacing w:before="240" w:after="80" w:line="240" w:lineRule="auto"/>
      <w:outlineLvl w:val="5"/>
    </w:pPr>
    <w:rPr>
      <w:rFonts w:ascii="Times New Roman" w:eastAsia="Times New Roman" w:hAnsi="Times New Roman" w:cs="Times New Roman"/>
      <w:i/>
      <w:color w:val="666666"/>
      <w:sz w:val="24"/>
      <w:szCs w:val="24"/>
      <w:lang w:eastAsia="es-MX"/>
    </w:rPr>
  </w:style>
  <w:style w:type="paragraph" w:styleId="Ttulo7">
    <w:name w:val="heading 7"/>
    <w:basedOn w:val="Normal"/>
    <w:next w:val="Normal"/>
    <w:link w:val="Ttulo7Car"/>
    <w:uiPriority w:val="9"/>
    <w:unhideWhenUsed/>
    <w:qFormat/>
    <w:rsid w:val="00824ACD"/>
    <w:pPr>
      <w:keepNext/>
      <w:keepLines/>
      <w:spacing w:before="40" w:after="0"/>
      <w:outlineLvl w:val="6"/>
    </w:pPr>
    <w:rPr>
      <w:rFonts w:ascii="Calibri" w:eastAsia="Times New Roman" w:hAnsi="Calibri" w:cs="Times New Roman"/>
      <w:i/>
      <w:iCs/>
      <w:color w:val="243F60"/>
      <w:lang w:val="es-ES_tradnl"/>
    </w:rPr>
  </w:style>
  <w:style w:type="paragraph" w:styleId="Ttulo8">
    <w:name w:val="heading 8"/>
    <w:basedOn w:val="Normal"/>
    <w:next w:val="Normal"/>
    <w:link w:val="Ttulo8Car"/>
    <w:uiPriority w:val="9"/>
    <w:semiHidden/>
    <w:unhideWhenUsed/>
    <w:qFormat/>
    <w:rsid w:val="00824ACD"/>
    <w:pPr>
      <w:keepNext/>
      <w:keepLines/>
      <w:spacing w:before="40" w:after="0"/>
      <w:outlineLvl w:val="7"/>
    </w:pPr>
    <w:rPr>
      <w:rFonts w:ascii="Calibri" w:eastAsia="Times New Roman" w:hAnsi="Calibri" w:cs="Times New Roman"/>
      <w:color w:val="272727"/>
      <w:sz w:val="21"/>
      <w:szCs w:val="21"/>
      <w:lang w:val="es-ES_tradnl"/>
    </w:rPr>
  </w:style>
  <w:style w:type="paragraph" w:styleId="Ttulo9">
    <w:name w:val="heading 9"/>
    <w:basedOn w:val="Normal"/>
    <w:next w:val="Normal"/>
    <w:link w:val="Ttulo9Car"/>
    <w:uiPriority w:val="9"/>
    <w:semiHidden/>
    <w:unhideWhenUsed/>
    <w:qFormat/>
    <w:rsid w:val="00824ACD"/>
    <w:pPr>
      <w:keepNext/>
      <w:keepLines/>
      <w:spacing w:before="40" w:after="0"/>
      <w:outlineLvl w:val="8"/>
    </w:pPr>
    <w:rPr>
      <w:rFonts w:ascii="Calibri" w:eastAsia="Times New Roman" w:hAnsi="Calibri" w:cs="Times New Roman"/>
      <w:i/>
      <w:iCs/>
      <w:color w:val="272727"/>
      <w:sz w:val="21"/>
      <w:szCs w:val="21"/>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4D5B24"/>
    <w:rPr>
      <w:color w:val="0563C1" w:themeColor="hyperlink"/>
      <w:u w:val="single"/>
    </w:rPr>
  </w:style>
  <w:style w:type="paragraph" w:styleId="Textonotapie">
    <w:name w:val="footnote text"/>
    <w:basedOn w:val="Normal"/>
    <w:link w:val="TextonotapieCar"/>
    <w:uiPriority w:val="99"/>
    <w:unhideWhenUsed/>
    <w:rsid w:val="004D5B24"/>
    <w:pPr>
      <w:suppressAutoHyphens/>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rsid w:val="004D5B24"/>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unhideWhenUsed/>
    <w:rsid w:val="004D5B24"/>
    <w:rPr>
      <w:vertAlign w:val="superscript"/>
    </w:rPr>
  </w:style>
  <w:style w:type="character" w:customStyle="1" w:styleId="Mencinsinresolver1">
    <w:name w:val="Mención sin resolver1"/>
    <w:basedOn w:val="Fuentedeprrafopredeter"/>
    <w:uiPriority w:val="99"/>
    <w:semiHidden/>
    <w:unhideWhenUsed/>
    <w:rsid w:val="00A41867"/>
    <w:rPr>
      <w:color w:val="605E5C"/>
      <w:shd w:val="clear" w:color="auto" w:fill="E1DFDD"/>
    </w:rPr>
  </w:style>
  <w:style w:type="paragraph" w:styleId="Descripcin">
    <w:name w:val="caption"/>
    <w:aliases w:val="Table/Figure Heading"/>
    <w:basedOn w:val="Normal"/>
    <w:next w:val="Normal"/>
    <w:link w:val="DescripcinCar"/>
    <w:uiPriority w:val="35"/>
    <w:qFormat/>
    <w:rsid w:val="0081138C"/>
    <w:pPr>
      <w:spacing w:before="120" w:after="120" w:line="240" w:lineRule="auto"/>
      <w:jc w:val="both"/>
    </w:pPr>
    <w:rPr>
      <w:rFonts w:ascii="Arial" w:eastAsia="Times New Roman" w:hAnsi="Arial" w:cs="Arial"/>
      <w:b/>
      <w:szCs w:val="24"/>
      <w:lang w:eastAsia="es-ES"/>
    </w:rPr>
  </w:style>
  <w:style w:type="character" w:styleId="Refdecomentario">
    <w:name w:val="annotation reference"/>
    <w:basedOn w:val="Fuentedeprrafopredeter"/>
    <w:uiPriority w:val="99"/>
    <w:semiHidden/>
    <w:unhideWhenUsed/>
    <w:rsid w:val="0081138C"/>
    <w:rPr>
      <w:sz w:val="16"/>
      <w:szCs w:val="16"/>
    </w:rPr>
  </w:style>
  <w:style w:type="paragraph" w:styleId="Textocomentario">
    <w:name w:val="annotation text"/>
    <w:basedOn w:val="Normal"/>
    <w:link w:val="TextocomentarioCar"/>
    <w:uiPriority w:val="99"/>
    <w:unhideWhenUsed/>
    <w:rsid w:val="0081138C"/>
    <w:pPr>
      <w:spacing w:before="120" w:after="120" w:line="240" w:lineRule="auto"/>
      <w:jc w:val="both"/>
    </w:pPr>
    <w:rPr>
      <w:rFonts w:ascii="Arial" w:eastAsia="Times New Roman" w:hAnsi="Arial" w:cs="Arial"/>
      <w:sz w:val="20"/>
      <w:szCs w:val="20"/>
      <w:lang w:eastAsia="es-ES"/>
    </w:rPr>
  </w:style>
  <w:style w:type="character" w:customStyle="1" w:styleId="TextocomentarioCar">
    <w:name w:val="Texto comentario Car"/>
    <w:basedOn w:val="Fuentedeprrafopredeter"/>
    <w:link w:val="Textocomentario"/>
    <w:uiPriority w:val="99"/>
    <w:rsid w:val="0081138C"/>
    <w:rPr>
      <w:rFonts w:ascii="Arial" w:eastAsia="Times New Roman" w:hAnsi="Arial" w:cs="Arial"/>
      <w:sz w:val="20"/>
      <w:szCs w:val="20"/>
      <w:lang w:eastAsia="es-ES"/>
    </w:rPr>
  </w:style>
  <w:style w:type="paragraph" w:styleId="Prrafodelista">
    <w:name w:val="List Paragraph"/>
    <w:aliases w:val="TITULO 2,Párrafo de tabla,Bolita,Guión,Párrafo de lista3,BOLA,Párrafo de lista21,Titulo 8,Párrafo de lista2,HOJA,Párrafo de lista5,Viñeta 2,Titulo1,items,BOLADEF,List Paragraph,Chulito,Párrafo de lista31,BOLITA,Bola,SS-Articulos,Flor"/>
    <w:basedOn w:val="Normal"/>
    <w:link w:val="PrrafodelistaCar"/>
    <w:qFormat/>
    <w:rsid w:val="00DF4D3C"/>
    <w:pPr>
      <w:ind w:left="720"/>
      <w:contextualSpacing/>
    </w:pPr>
  </w:style>
  <w:style w:type="character" w:customStyle="1" w:styleId="PrrafodelistaCar">
    <w:name w:val="Párrafo de lista Car"/>
    <w:aliases w:val="TITULO 2 Car,Párrafo de tabla Car,Bolita Car,Guión Car,Párrafo de lista3 Car,BOLA Car,Párrafo de lista21 Car,Titulo 8 Car,Párrafo de lista2 Car,HOJA Car,Párrafo de lista5 Car,Viñeta 2 Car,Titulo1 Car,items Car,BOLADEF Car,BOLITA Car"/>
    <w:link w:val="Prrafodelista"/>
    <w:rsid w:val="006855FA"/>
  </w:style>
  <w:style w:type="paragraph" w:styleId="Textodeglobo">
    <w:name w:val="Balloon Text"/>
    <w:basedOn w:val="Normal"/>
    <w:link w:val="TextodegloboCar"/>
    <w:uiPriority w:val="99"/>
    <w:semiHidden/>
    <w:unhideWhenUsed/>
    <w:rsid w:val="00956AB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56ABE"/>
    <w:rPr>
      <w:rFonts w:ascii="Segoe UI" w:hAnsi="Segoe UI" w:cs="Segoe UI"/>
      <w:sz w:val="18"/>
      <w:szCs w:val="18"/>
    </w:rPr>
  </w:style>
  <w:style w:type="paragraph" w:styleId="NormalWeb">
    <w:name w:val="Normal (Web)"/>
    <w:basedOn w:val="Normal"/>
    <w:uiPriority w:val="99"/>
    <w:semiHidden/>
    <w:unhideWhenUsed/>
    <w:rsid w:val="00A87A31"/>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Ttulo1Car">
    <w:name w:val="Título 1 Car"/>
    <w:basedOn w:val="Fuentedeprrafopredeter"/>
    <w:link w:val="Ttulo1"/>
    <w:rsid w:val="00824ACD"/>
    <w:rPr>
      <w:rFonts w:ascii="Times New Roman" w:eastAsia="Times New Roman" w:hAnsi="Times New Roman" w:cs="Times New Roman"/>
      <w:sz w:val="40"/>
      <w:szCs w:val="40"/>
      <w:lang w:eastAsia="es-MX"/>
    </w:rPr>
  </w:style>
  <w:style w:type="character" w:customStyle="1" w:styleId="Ttulo2Car">
    <w:name w:val="Título 2 Car"/>
    <w:basedOn w:val="Fuentedeprrafopredeter"/>
    <w:link w:val="Ttulo2"/>
    <w:rsid w:val="00824ACD"/>
    <w:rPr>
      <w:rFonts w:ascii="Times New Roman" w:eastAsia="Times New Roman" w:hAnsi="Times New Roman" w:cs="Times New Roman"/>
      <w:sz w:val="32"/>
      <w:szCs w:val="32"/>
      <w:lang w:eastAsia="es-MX"/>
    </w:rPr>
  </w:style>
  <w:style w:type="character" w:customStyle="1" w:styleId="Ttulo3Car">
    <w:name w:val="Título 3 Car"/>
    <w:basedOn w:val="Fuentedeprrafopredeter"/>
    <w:link w:val="Ttulo3"/>
    <w:rsid w:val="00824ACD"/>
    <w:rPr>
      <w:rFonts w:ascii="Times New Roman" w:eastAsia="Times New Roman" w:hAnsi="Times New Roman" w:cs="Times New Roman"/>
      <w:color w:val="434343"/>
      <w:sz w:val="28"/>
      <w:szCs w:val="28"/>
      <w:lang w:eastAsia="es-MX"/>
    </w:rPr>
  </w:style>
  <w:style w:type="character" w:customStyle="1" w:styleId="Ttulo4Car">
    <w:name w:val="Título 4 Car"/>
    <w:basedOn w:val="Fuentedeprrafopredeter"/>
    <w:link w:val="Ttulo4"/>
    <w:rsid w:val="00824ACD"/>
    <w:rPr>
      <w:rFonts w:ascii="Times New Roman" w:eastAsia="Times New Roman" w:hAnsi="Times New Roman" w:cs="Times New Roman"/>
      <w:color w:val="666666"/>
      <w:sz w:val="24"/>
      <w:szCs w:val="24"/>
      <w:lang w:eastAsia="es-MX"/>
    </w:rPr>
  </w:style>
  <w:style w:type="character" w:customStyle="1" w:styleId="Ttulo5Car">
    <w:name w:val="Título 5 Car"/>
    <w:basedOn w:val="Fuentedeprrafopredeter"/>
    <w:link w:val="Ttulo5"/>
    <w:rsid w:val="00824ACD"/>
    <w:rPr>
      <w:rFonts w:ascii="Times New Roman" w:eastAsia="Times New Roman" w:hAnsi="Times New Roman" w:cs="Times New Roman"/>
      <w:color w:val="666666"/>
      <w:sz w:val="24"/>
      <w:szCs w:val="24"/>
      <w:lang w:eastAsia="es-MX"/>
    </w:rPr>
  </w:style>
  <w:style w:type="character" w:customStyle="1" w:styleId="Ttulo6Car">
    <w:name w:val="Título 6 Car"/>
    <w:basedOn w:val="Fuentedeprrafopredeter"/>
    <w:link w:val="Ttulo6"/>
    <w:rsid w:val="00824ACD"/>
    <w:rPr>
      <w:rFonts w:ascii="Times New Roman" w:eastAsia="Times New Roman" w:hAnsi="Times New Roman" w:cs="Times New Roman"/>
      <w:i/>
      <w:color w:val="666666"/>
      <w:sz w:val="24"/>
      <w:szCs w:val="24"/>
      <w:lang w:eastAsia="es-MX"/>
    </w:rPr>
  </w:style>
  <w:style w:type="paragraph" w:customStyle="1" w:styleId="Ttulo71">
    <w:name w:val="Título 71"/>
    <w:basedOn w:val="Normal"/>
    <w:next w:val="Normal"/>
    <w:uiPriority w:val="9"/>
    <w:unhideWhenUsed/>
    <w:qFormat/>
    <w:rsid w:val="00824ACD"/>
    <w:pPr>
      <w:keepNext/>
      <w:keepLines/>
      <w:spacing w:before="40" w:after="0" w:line="240" w:lineRule="auto"/>
      <w:ind w:left="1296" w:hanging="1296"/>
      <w:outlineLvl w:val="6"/>
    </w:pPr>
    <w:rPr>
      <w:rFonts w:ascii="Calibri" w:eastAsia="Times New Roman" w:hAnsi="Calibri" w:cs="Times New Roman"/>
      <w:i/>
      <w:iCs/>
      <w:color w:val="243F60"/>
      <w:sz w:val="24"/>
      <w:szCs w:val="24"/>
      <w:lang w:val="es-ES_tradnl" w:eastAsia="es-MX"/>
    </w:rPr>
  </w:style>
  <w:style w:type="paragraph" w:customStyle="1" w:styleId="Ttulo81">
    <w:name w:val="Título 81"/>
    <w:basedOn w:val="Normal"/>
    <w:next w:val="Normal"/>
    <w:uiPriority w:val="9"/>
    <w:semiHidden/>
    <w:unhideWhenUsed/>
    <w:qFormat/>
    <w:rsid w:val="00824ACD"/>
    <w:pPr>
      <w:keepNext/>
      <w:keepLines/>
      <w:spacing w:before="40" w:after="0" w:line="240" w:lineRule="auto"/>
      <w:ind w:left="1440" w:hanging="1440"/>
      <w:outlineLvl w:val="7"/>
    </w:pPr>
    <w:rPr>
      <w:rFonts w:ascii="Calibri" w:eastAsia="Times New Roman" w:hAnsi="Calibri" w:cs="Times New Roman"/>
      <w:color w:val="272727"/>
      <w:sz w:val="21"/>
      <w:szCs w:val="21"/>
      <w:lang w:val="es-ES_tradnl" w:eastAsia="es-MX"/>
    </w:rPr>
  </w:style>
  <w:style w:type="paragraph" w:customStyle="1" w:styleId="Ttulo91">
    <w:name w:val="Título 91"/>
    <w:basedOn w:val="Normal"/>
    <w:next w:val="Normal"/>
    <w:uiPriority w:val="9"/>
    <w:semiHidden/>
    <w:unhideWhenUsed/>
    <w:qFormat/>
    <w:rsid w:val="00824ACD"/>
    <w:pPr>
      <w:keepNext/>
      <w:keepLines/>
      <w:spacing w:before="40" w:after="0" w:line="240" w:lineRule="auto"/>
      <w:ind w:left="1584" w:hanging="1584"/>
      <w:outlineLvl w:val="8"/>
    </w:pPr>
    <w:rPr>
      <w:rFonts w:ascii="Calibri" w:eastAsia="Times New Roman" w:hAnsi="Calibri" w:cs="Times New Roman"/>
      <w:i/>
      <w:iCs/>
      <w:color w:val="272727"/>
      <w:sz w:val="21"/>
      <w:szCs w:val="21"/>
      <w:lang w:val="es-ES_tradnl" w:eastAsia="es-MX"/>
    </w:rPr>
  </w:style>
  <w:style w:type="numbering" w:customStyle="1" w:styleId="Sinlista1">
    <w:name w:val="Sin lista1"/>
    <w:next w:val="Sinlista"/>
    <w:uiPriority w:val="99"/>
    <w:semiHidden/>
    <w:unhideWhenUsed/>
    <w:rsid w:val="00824ACD"/>
  </w:style>
  <w:style w:type="table" w:customStyle="1" w:styleId="TableNormal">
    <w:name w:val="Table Normal"/>
    <w:rsid w:val="00824ACD"/>
    <w:pPr>
      <w:spacing w:after="0" w:line="276" w:lineRule="auto"/>
    </w:pPr>
    <w:rPr>
      <w:rFonts w:ascii="Arial" w:eastAsia="Arial" w:hAnsi="Arial" w:cs="Arial"/>
      <w:lang w:val="en-US" w:eastAsia="es-ES"/>
    </w:rPr>
    <w:tblPr>
      <w:tblCellMar>
        <w:top w:w="0" w:type="dxa"/>
        <w:left w:w="0" w:type="dxa"/>
        <w:bottom w:w="0" w:type="dxa"/>
        <w:right w:w="0" w:type="dxa"/>
      </w:tblCellMar>
    </w:tblPr>
  </w:style>
  <w:style w:type="paragraph" w:styleId="Ttulo">
    <w:name w:val="Title"/>
    <w:basedOn w:val="Normal"/>
    <w:next w:val="Normal"/>
    <w:link w:val="TtuloCar"/>
    <w:rsid w:val="00824ACD"/>
    <w:pPr>
      <w:keepNext/>
      <w:keepLines/>
      <w:spacing w:after="60" w:line="240" w:lineRule="auto"/>
    </w:pPr>
    <w:rPr>
      <w:rFonts w:ascii="Times New Roman" w:eastAsia="Times New Roman" w:hAnsi="Times New Roman" w:cs="Times New Roman"/>
      <w:sz w:val="52"/>
      <w:szCs w:val="52"/>
      <w:lang w:eastAsia="es-MX"/>
    </w:rPr>
  </w:style>
  <w:style w:type="character" w:customStyle="1" w:styleId="TtuloCar">
    <w:name w:val="Título Car"/>
    <w:basedOn w:val="Fuentedeprrafopredeter"/>
    <w:link w:val="Ttulo"/>
    <w:rsid w:val="00824ACD"/>
    <w:rPr>
      <w:rFonts w:ascii="Times New Roman" w:eastAsia="Times New Roman" w:hAnsi="Times New Roman" w:cs="Times New Roman"/>
      <w:sz w:val="52"/>
      <w:szCs w:val="52"/>
      <w:lang w:eastAsia="es-MX"/>
    </w:rPr>
  </w:style>
  <w:style w:type="paragraph" w:styleId="Subttulo">
    <w:name w:val="Subtitle"/>
    <w:basedOn w:val="Normal"/>
    <w:next w:val="Normal"/>
    <w:link w:val="SubttuloCar"/>
    <w:rsid w:val="00824ACD"/>
    <w:pPr>
      <w:keepNext/>
      <w:keepLines/>
      <w:spacing w:after="320" w:line="240" w:lineRule="auto"/>
    </w:pPr>
    <w:rPr>
      <w:rFonts w:ascii="Times New Roman" w:eastAsia="Times New Roman" w:hAnsi="Times New Roman" w:cs="Times New Roman"/>
      <w:color w:val="666666"/>
      <w:sz w:val="30"/>
      <w:szCs w:val="30"/>
      <w:lang w:eastAsia="es-MX"/>
    </w:rPr>
  </w:style>
  <w:style w:type="character" w:customStyle="1" w:styleId="SubttuloCar">
    <w:name w:val="Subtítulo Car"/>
    <w:basedOn w:val="Fuentedeprrafopredeter"/>
    <w:link w:val="Subttulo"/>
    <w:rsid w:val="00824ACD"/>
    <w:rPr>
      <w:rFonts w:ascii="Times New Roman" w:eastAsia="Times New Roman" w:hAnsi="Times New Roman" w:cs="Times New Roman"/>
      <w:color w:val="666666"/>
      <w:sz w:val="30"/>
      <w:szCs w:val="30"/>
      <w:lang w:eastAsia="es-MX"/>
    </w:rPr>
  </w:style>
  <w:style w:type="paragraph" w:styleId="Encabezado">
    <w:name w:val="header"/>
    <w:basedOn w:val="Normal"/>
    <w:link w:val="EncabezadoCar"/>
    <w:uiPriority w:val="99"/>
    <w:unhideWhenUsed/>
    <w:rsid w:val="00824ACD"/>
    <w:pPr>
      <w:tabs>
        <w:tab w:val="center" w:pos="4252"/>
        <w:tab w:val="right" w:pos="8504"/>
      </w:tabs>
      <w:spacing w:after="0" w:line="240" w:lineRule="auto"/>
    </w:pPr>
    <w:rPr>
      <w:rFonts w:ascii="Times New Roman" w:eastAsia="Times New Roman" w:hAnsi="Times New Roman" w:cs="Times New Roman"/>
      <w:sz w:val="24"/>
      <w:szCs w:val="24"/>
      <w:lang w:eastAsia="es-MX"/>
    </w:rPr>
  </w:style>
  <w:style w:type="character" w:customStyle="1" w:styleId="EncabezadoCar">
    <w:name w:val="Encabezado Car"/>
    <w:basedOn w:val="Fuentedeprrafopredeter"/>
    <w:link w:val="Encabezado"/>
    <w:uiPriority w:val="99"/>
    <w:rsid w:val="00824ACD"/>
    <w:rPr>
      <w:rFonts w:ascii="Times New Roman" w:eastAsia="Times New Roman" w:hAnsi="Times New Roman" w:cs="Times New Roman"/>
      <w:sz w:val="24"/>
      <w:szCs w:val="24"/>
      <w:lang w:eastAsia="es-MX"/>
    </w:rPr>
  </w:style>
  <w:style w:type="paragraph" w:styleId="Piedepgina">
    <w:name w:val="footer"/>
    <w:basedOn w:val="Normal"/>
    <w:link w:val="PiedepginaCar"/>
    <w:uiPriority w:val="99"/>
    <w:unhideWhenUsed/>
    <w:rsid w:val="00824ACD"/>
    <w:pPr>
      <w:tabs>
        <w:tab w:val="center" w:pos="4252"/>
        <w:tab w:val="right" w:pos="8504"/>
      </w:tabs>
      <w:spacing w:after="0" w:line="240" w:lineRule="auto"/>
    </w:pPr>
    <w:rPr>
      <w:rFonts w:ascii="Times New Roman" w:eastAsia="Times New Roman" w:hAnsi="Times New Roman" w:cs="Times New Roman"/>
      <w:sz w:val="24"/>
      <w:szCs w:val="24"/>
      <w:lang w:eastAsia="es-MX"/>
    </w:rPr>
  </w:style>
  <w:style w:type="character" w:customStyle="1" w:styleId="PiedepginaCar">
    <w:name w:val="Pie de página Car"/>
    <w:basedOn w:val="Fuentedeprrafopredeter"/>
    <w:link w:val="Piedepgina"/>
    <w:uiPriority w:val="99"/>
    <w:rsid w:val="00824ACD"/>
    <w:rPr>
      <w:rFonts w:ascii="Times New Roman" w:eastAsia="Times New Roman" w:hAnsi="Times New Roman" w:cs="Times New Roman"/>
      <w:sz w:val="24"/>
      <w:szCs w:val="24"/>
      <w:lang w:eastAsia="es-MX"/>
    </w:rPr>
  </w:style>
  <w:style w:type="paragraph" w:styleId="Sinespaciado">
    <w:name w:val="No Spacing"/>
    <w:link w:val="SinespaciadoCar"/>
    <w:uiPriority w:val="1"/>
    <w:qFormat/>
    <w:rsid w:val="00824ACD"/>
    <w:pPr>
      <w:spacing w:after="0" w:line="240" w:lineRule="auto"/>
    </w:pPr>
    <w:rPr>
      <w:rFonts w:ascii="Arial" w:eastAsia="Arial" w:hAnsi="Arial" w:cs="Arial"/>
      <w:lang w:val="en-US" w:eastAsia="es-ES"/>
    </w:rPr>
  </w:style>
  <w:style w:type="paragraph" w:customStyle="1" w:styleId="TtuloTDC1">
    <w:name w:val="Título TDC1"/>
    <w:basedOn w:val="Ttulo1"/>
    <w:next w:val="Normal"/>
    <w:uiPriority w:val="39"/>
    <w:unhideWhenUsed/>
    <w:qFormat/>
    <w:rsid w:val="00824ACD"/>
    <w:pPr>
      <w:spacing w:before="240" w:after="0" w:line="259" w:lineRule="auto"/>
      <w:outlineLvl w:val="9"/>
    </w:pPr>
    <w:rPr>
      <w:rFonts w:ascii="Calibri" w:hAnsi="Calibri"/>
      <w:color w:val="365F91"/>
      <w:sz w:val="32"/>
      <w:szCs w:val="32"/>
      <w:lang w:val="es-ES"/>
    </w:rPr>
  </w:style>
  <w:style w:type="paragraph" w:styleId="TDC1">
    <w:name w:val="toc 1"/>
    <w:basedOn w:val="Normal"/>
    <w:next w:val="Normal"/>
    <w:autoRedefine/>
    <w:uiPriority w:val="39"/>
    <w:unhideWhenUsed/>
    <w:rsid w:val="00824ACD"/>
    <w:pPr>
      <w:tabs>
        <w:tab w:val="left" w:pos="440"/>
        <w:tab w:val="right" w:leader="dot" w:pos="9019"/>
      </w:tabs>
      <w:spacing w:after="100" w:line="240" w:lineRule="auto"/>
      <w:jc w:val="both"/>
    </w:pPr>
    <w:rPr>
      <w:rFonts w:ascii="Arial" w:eastAsia="Times New Roman" w:hAnsi="Arial" w:cs="Arial"/>
      <w:b/>
      <w:bCs/>
      <w:noProof/>
      <w:color w:val="002060"/>
      <w:sz w:val="24"/>
      <w:szCs w:val="24"/>
      <w:lang w:eastAsia="es-MX"/>
    </w:rPr>
  </w:style>
  <w:style w:type="paragraph" w:styleId="TDC2">
    <w:name w:val="toc 2"/>
    <w:basedOn w:val="Normal"/>
    <w:next w:val="Normal"/>
    <w:autoRedefine/>
    <w:uiPriority w:val="39"/>
    <w:unhideWhenUsed/>
    <w:rsid w:val="00824ACD"/>
    <w:pPr>
      <w:tabs>
        <w:tab w:val="left" w:pos="880"/>
        <w:tab w:val="right" w:leader="dot" w:pos="9466"/>
      </w:tabs>
      <w:spacing w:after="100" w:line="240" w:lineRule="auto"/>
      <w:ind w:left="284"/>
    </w:pPr>
    <w:rPr>
      <w:rFonts w:ascii="Arial" w:eastAsia="Times New Roman" w:hAnsi="Arial" w:cs="Arial"/>
      <w:noProof/>
      <w:sz w:val="24"/>
      <w:szCs w:val="24"/>
      <w:lang w:eastAsia="es-MX"/>
    </w:rPr>
  </w:style>
  <w:style w:type="paragraph" w:styleId="TDC3">
    <w:name w:val="toc 3"/>
    <w:basedOn w:val="Normal"/>
    <w:next w:val="Normal"/>
    <w:autoRedefine/>
    <w:uiPriority w:val="39"/>
    <w:unhideWhenUsed/>
    <w:rsid w:val="00824ACD"/>
    <w:pPr>
      <w:tabs>
        <w:tab w:val="left" w:pos="851"/>
        <w:tab w:val="right" w:leader="dot" w:pos="9466"/>
      </w:tabs>
      <w:spacing w:after="100" w:line="240" w:lineRule="auto"/>
      <w:ind w:left="284"/>
    </w:pPr>
    <w:rPr>
      <w:rFonts w:ascii="Times New Roman" w:eastAsia="Times New Roman" w:hAnsi="Times New Roman" w:cs="Times New Roman"/>
      <w:sz w:val="24"/>
      <w:szCs w:val="24"/>
      <w:lang w:eastAsia="es-MX"/>
    </w:rPr>
  </w:style>
  <w:style w:type="table" w:customStyle="1" w:styleId="Tabladecuadrcula1clara-nfasis31">
    <w:name w:val="Tabla de cuadrícula 1 clara - Énfasis 31"/>
    <w:basedOn w:val="Tablanormal"/>
    <w:next w:val="Tablaconcuadrcula1clara-nfasis3"/>
    <w:uiPriority w:val="46"/>
    <w:rsid w:val="00824ACD"/>
    <w:pPr>
      <w:spacing w:after="0" w:line="240" w:lineRule="auto"/>
    </w:pPr>
    <w:rPr>
      <w:rFonts w:ascii="Arial" w:eastAsia="Arial" w:hAnsi="Arial" w:cs="Arial"/>
      <w:lang w:val="en-US" w:eastAsia="es-ES"/>
    </w:r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Pr>
    <w:tblStylePr w:type="firstRow">
      <w:rPr>
        <w:b/>
        <w:bCs/>
      </w:rPr>
      <w:tblPr/>
      <w:tcPr>
        <w:tcBorders>
          <w:bottom w:val="single" w:sz="12" w:space="0" w:color="C2D69B"/>
        </w:tcBorders>
      </w:tcPr>
    </w:tblStylePr>
    <w:tblStylePr w:type="lastRow">
      <w:rPr>
        <w:b/>
        <w:bCs/>
      </w:rPr>
      <w:tblPr/>
      <w:tcPr>
        <w:tcBorders>
          <w:top w:val="double" w:sz="2" w:space="0" w:color="C2D69B"/>
        </w:tcBorders>
      </w:tcPr>
    </w:tblStylePr>
    <w:tblStylePr w:type="firstCol">
      <w:rPr>
        <w:b/>
        <w:bCs/>
      </w:rPr>
    </w:tblStylePr>
    <w:tblStylePr w:type="lastCol">
      <w:rPr>
        <w:b/>
        <w:bCs/>
      </w:rPr>
    </w:tblStylePr>
  </w:style>
  <w:style w:type="table" w:customStyle="1" w:styleId="Tabladecuadrcula5oscura-nfasis31">
    <w:name w:val="Tabla de cuadrícula 5 oscura - Énfasis 31"/>
    <w:basedOn w:val="Tablanormal"/>
    <w:next w:val="Tablaconcuadrcula5oscura-nfasis3"/>
    <w:uiPriority w:val="50"/>
    <w:rsid w:val="00824ACD"/>
    <w:pPr>
      <w:spacing w:after="0" w:line="240" w:lineRule="auto"/>
    </w:pPr>
    <w:rPr>
      <w:rFonts w:ascii="Arial" w:eastAsia="Arial" w:hAnsi="Arial" w:cs="Arial"/>
      <w:lang w:val="en-US" w:eastAsia="es-E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Tabladecuadrcula6concolores-nfasis31">
    <w:name w:val="Tabla de cuadrícula 6 con colores - Énfasis 31"/>
    <w:basedOn w:val="Tablanormal"/>
    <w:next w:val="Tablaconcuadrcula6concolores-nfasis3"/>
    <w:uiPriority w:val="51"/>
    <w:rsid w:val="00824ACD"/>
    <w:pPr>
      <w:spacing w:after="0" w:line="240" w:lineRule="auto"/>
    </w:pPr>
    <w:rPr>
      <w:rFonts w:ascii="Arial" w:eastAsia="Arial" w:hAnsi="Arial" w:cs="Arial"/>
      <w:color w:val="76923C"/>
      <w:lang w:val="en-US" w:eastAsia="es-E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rPr>
      <w:tblPr/>
      <w:tcPr>
        <w:tcBorders>
          <w:bottom w:val="single" w:sz="12" w:space="0" w:color="C2D69B"/>
        </w:tcBorders>
      </w:tcPr>
    </w:tblStylePr>
    <w:tblStylePr w:type="lastRow">
      <w:rPr>
        <w:b/>
        <w:bCs/>
      </w:rPr>
      <w:tblPr/>
      <w:tcPr>
        <w:tcBorders>
          <w:top w:val="doub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adecuadrcula7concolores-nfasis31">
    <w:name w:val="Tabla de cuadrícula 7 con colores - Énfasis 31"/>
    <w:basedOn w:val="Tablanormal"/>
    <w:next w:val="Tablaconcuadrcula7concolores-nfasis3"/>
    <w:uiPriority w:val="52"/>
    <w:rsid w:val="00824ACD"/>
    <w:pPr>
      <w:spacing w:after="0" w:line="240" w:lineRule="auto"/>
    </w:pPr>
    <w:rPr>
      <w:rFonts w:ascii="Arial" w:eastAsia="Arial" w:hAnsi="Arial" w:cs="Arial"/>
      <w:color w:val="76923C"/>
      <w:lang w:val="en-US" w:eastAsia="es-E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AF1DD"/>
      </w:tcPr>
    </w:tblStylePr>
    <w:tblStylePr w:type="band1Horz">
      <w:tblPr/>
      <w:tcPr>
        <w:shd w:val="clear" w:color="auto" w:fill="EAF1DD"/>
      </w:tcPr>
    </w:tblStylePr>
    <w:tblStylePr w:type="neCell">
      <w:tblPr/>
      <w:tcPr>
        <w:tcBorders>
          <w:bottom w:val="single" w:sz="4" w:space="0" w:color="C2D69B"/>
        </w:tcBorders>
      </w:tcPr>
    </w:tblStylePr>
    <w:tblStylePr w:type="nwCell">
      <w:tblPr/>
      <w:tcPr>
        <w:tcBorders>
          <w:bottom w:val="single" w:sz="4" w:space="0" w:color="C2D69B"/>
        </w:tcBorders>
      </w:tcPr>
    </w:tblStylePr>
    <w:tblStylePr w:type="seCell">
      <w:tblPr/>
      <w:tcPr>
        <w:tcBorders>
          <w:top w:val="single" w:sz="4" w:space="0" w:color="C2D69B"/>
        </w:tcBorders>
      </w:tcPr>
    </w:tblStylePr>
    <w:tblStylePr w:type="swCell">
      <w:tblPr/>
      <w:tcPr>
        <w:tcBorders>
          <w:top w:val="single" w:sz="4" w:space="0" w:color="C2D69B"/>
        </w:tcBorders>
      </w:tcPr>
    </w:tblStylePr>
  </w:style>
  <w:style w:type="table" w:customStyle="1" w:styleId="Tabladelista4-nfasis31">
    <w:name w:val="Tabla de lista 4 - Énfasis 31"/>
    <w:basedOn w:val="Tablanormal"/>
    <w:next w:val="Tabladelista4-nfasis3"/>
    <w:uiPriority w:val="49"/>
    <w:rsid w:val="00824ACD"/>
    <w:pPr>
      <w:spacing w:after="0" w:line="240" w:lineRule="auto"/>
    </w:pPr>
    <w:rPr>
      <w:rFonts w:ascii="Arial" w:eastAsia="Arial" w:hAnsi="Arial" w:cs="Arial"/>
      <w:lang w:val="en-US" w:eastAsia="es-E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tcBorders>
        <w:shd w:val="clear" w:color="auto" w:fill="9BBB59"/>
      </w:tcPr>
    </w:tblStylePr>
    <w:tblStylePr w:type="lastRow">
      <w:rPr>
        <w:b/>
        <w:bCs/>
      </w:rPr>
      <w:tblPr/>
      <w:tcPr>
        <w:tcBorders>
          <w:top w:val="doub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adecuadrcula3-nfasis31">
    <w:name w:val="Tabla de cuadrícula 3 - Énfasis 31"/>
    <w:basedOn w:val="Tablanormal"/>
    <w:next w:val="Tablaconcuadrcula3-nfasis3"/>
    <w:uiPriority w:val="48"/>
    <w:rsid w:val="00824ACD"/>
    <w:pPr>
      <w:spacing w:after="0" w:line="240" w:lineRule="auto"/>
    </w:pPr>
    <w:rPr>
      <w:rFonts w:ascii="Arial" w:eastAsia="Arial" w:hAnsi="Arial" w:cs="Arial"/>
      <w:lang w:val="en-US" w:eastAsia="es-E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AF1DD"/>
      </w:tcPr>
    </w:tblStylePr>
    <w:tblStylePr w:type="band1Horz">
      <w:tblPr/>
      <w:tcPr>
        <w:shd w:val="clear" w:color="auto" w:fill="EAF1DD"/>
      </w:tcPr>
    </w:tblStylePr>
    <w:tblStylePr w:type="neCell">
      <w:tblPr/>
      <w:tcPr>
        <w:tcBorders>
          <w:bottom w:val="single" w:sz="4" w:space="0" w:color="C2D69B"/>
        </w:tcBorders>
      </w:tcPr>
    </w:tblStylePr>
    <w:tblStylePr w:type="nwCell">
      <w:tblPr/>
      <w:tcPr>
        <w:tcBorders>
          <w:bottom w:val="single" w:sz="4" w:space="0" w:color="C2D69B"/>
        </w:tcBorders>
      </w:tcPr>
    </w:tblStylePr>
    <w:tblStylePr w:type="seCell">
      <w:tblPr/>
      <w:tcPr>
        <w:tcBorders>
          <w:top w:val="single" w:sz="4" w:space="0" w:color="C2D69B"/>
        </w:tcBorders>
      </w:tcPr>
    </w:tblStylePr>
    <w:tblStylePr w:type="swCell">
      <w:tblPr/>
      <w:tcPr>
        <w:tcBorders>
          <w:top w:val="single" w:sz="4" w:space="0" w:color="C2D69B"/>
        </w:tcBorders>
      </w:tcPr>
    </w:tblStylePr>
  </w:style>
  <w:style w:type="table" w:customStyle="1" w:styleId="Tabladecuadrcula4-nfasis31">
    <w:name w:val="Tabla de cuadrícula 4 - Énfasis 31"/>
    <w:basedOn w:val="Tablanormal"/>
    <w:next w:val="Tablaconcuadrcula4-nfasis3"/>
    <w:uiPriority w:val="49"/>
    <w:rsid w:val="00824ACD"/>
    <w:pPr>
      <w:spacing w:after="0" w:line="240" w:lineRule="auto"/>
    </w:pPr>
    <w:rPr>
      <w:rFonts w:ascii="Arial" w:eastAsia="Arial" w:hAnsi="Arial" w:cs="Arial"/>
      <w:lang w:val="en-US" w:eastAsia="es-E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adelista3-nfasis31">
    <w:name w:val="Tabla de lista 3 - Énfasis 31"/>
    <w:basedOn w:val="Tablanormal"/>
    <w:next w:val="Tabladelista3-nfasis3"/>
    <w:uiPriority w:val="48"/>
    <w:rsid w:val="00824ACD"/>
    <w:pPr>
      <w:spacing w:after="0" w:line="240" w:lineRule="auto"/>
    </w:pPr>
    <w:rPr>
      <w:rFonts w:ascii="Arial" w:eastAsia="Arial" w:hAnsi="Arial" w:cs="Arial"/>
      <w:lang w:val="en-US" w:eastAsia="es-ES"/>
    </w:rPr>
    <w:tblPr>
      <w:tblStyleRowBandSize w:val="1"/>
      <w:tblStyleColBandSize w:val="1"/>
      <w:tblBorders>
        <w:top w:val="single" w:sz="4" w:space="0" w:color="9BBB59"/>
        <w:left w:val="single" w:sz="4" w:space="0" w:color="9BBB59"/>
        <w:bottom w:val="single" w:sz="4" w:space="0" w:color="9BBB59"/>
        <w:right w:val="single" w:sz="4" w:space="0" w:color="9BBB59"/>
      </w:tblBorders>
    </w:tblPr>
    <w:tblStylePr w:type="firstRow">
      <w:rPr>
        <w:b/>
        <w:bCs/>
        <w:color w:val="FFFFFF"/>
      </w:rPr>
      <w:tblPr/>
      <w:tcPr>
        <w:shd w:val="clear" w:color="auto" w:fill="9BBB59"/>
      </w:tcPr>
    </w:tblStylePr>
    <w:tblStylePr w:type="lastRow">
      <w:rPr>
        <w:b/>
        <w:bCs/>
      </w:rPr>
      <w:tblPr/>
      <w:tcPr>
        <w:tcBorders>
          <w:top w:val="double" w:sz="4" w:space="0" w:color="9BBB5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9BBB59"/>
          <w:right w:val="single" w:sz="4" w:space="0" w:color="9BBB59"/>
        </w:tcBorders>
      </w:tcPr>
    </w:tblStylePr>
    <w:tblStylePr w:type="band1Horz">
      <w:tblPr/>
      <w:tcPr>
        <w:tcBorders>
          <w:top w:val="single" w:sz="4" w:space="0" w:color="9BBB59"/>
          <w:bottom w:val="single" w:sz="4" w:space="0" w:color="9BBB5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left w:val="nil"/>
        </w:tcBorders>
      </w:tcPr>
    </w:tblStylePr>
    <w:tblStylePr w:type="swCell">
      <w:tblPr/>
      <w:tcPr>
        <w:tcBorders>
          <w:top w:val="double" w:sz="4" w:space="0" w:color="9BBB59"/>
          <w:right w:val="nil"/>
        </w:tcBorders>
      </w:tcPr>
    </w:tblStylePr>
  </w:style>
  <w:style w:type="table" w:customStyle="1" w:styleId="Tabladecuadrcula5oscura-nfasis11">
    <w:name w:val="Tabla de cuadrícula 5 oscura - Énfasis 11"/>
    <w:basedOn w:val="Tablanormal"/>
    <w:next w:val="Tablaconcuadrcula5oscura-nfasis1"/>
    <w:uiPriority w:val="50"/>
    <w:rsid w:val="00824ACD"/>
    <w:pPr>
      <w:spacing w:after="0" w:line="240" w:lineRule="auto"/>
    </w:pPr>
    <w:rPr>
      <w:rFonts w:ascii="Arial" w:eastAsia="Arial" w:hAnsi="Arial" w:cs="Arial"/>
      <w:lang w:val="en-US" w:eastAsia="es-E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adecuadrcula3-nfasis11">
    <w:name w:val="Tabla de cuadrícula 3 - Énfasis 11"/>
    <w:basedOn w:val="Tablanormal"/>
    <w:next w:val="Tablaconcuadrcula3-nfasis1"/>
    <w:uiPriority w:val="48"/>
    <w:rsid w:val="00824ACD"/>
    <w:pPr>
      <w:spacing w:after="0" w:line="240" w:lineRule="auto"/>
    </w:pPr>
    <w:rPr>
      <w:rFonts w:ascii="Arial" w:eastAsia="Arial" w:hAnsi="Arial" w:cs="Arial"/>
      <w:lang w:val="en-US" w:eastAsia="es-E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table" w:customStyle="1" w:styleId="Tabladecuadrcula2-nfasis31">
    <w:name w:val="Tabla de cuadrícula 2 - Énfasis 31"/>
    <w:basedOn w:val="Tablanormal"/>
    <w:next w:val="Tablaconcuadrcula2-nfasis3"/>
    <w:uiPriority w:val="47"/>
    <w:rsid w:val="00824ACD"/>
    <w:pPr>
      <w:spacing w:after="0" w:line="240" w:lineRule="auto"/>
    </w:pPr>
    <w:rPr>
      <w:rFonts w:ascii="Arial" w:eastAsia="Arial" w:hAnsi="Arial" w:cs="Arial"/>
      <w:lang w:val="en-US" w:eastAsia="es-ES"/>
    </w:r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b/>
        <w:bCs/>
      </w:rPr>
      <w:tblPr/>
      <w:tcPr>
        <w:tcBorders>
          <w:top w:val="nil"/>
          <w:bottom w:val="single" w:sz="12" w:space="0" w:color="C2D69B"/>
          <w:insideH w:val="nil"/>
          <w:insideV w:val="nil"/>
        </w:tcBorders>
        <w:shd w:val="clear" w:color="auto" w:fill="FFFFFF"/>
      </w:tcPr>
    </w:tblStylePr>
    <w:tblStylePr w:type="lastRow">
      <w:rPr>
        <w:b/>
        <w:bCs/>
      </w:rPr>
      <w:tblPr/>
      <w:tcPr>
        <w:tcBorders>
          <w:top w:val="double" w:sz="2" w:space="0" w:color="C2D69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adecuadrcula4-nfasis11">
    <w:name w:val="Tabla de cuadrícula 4 - Énfasis 11"/>
    <w:basedOn w:val="Tablanormal"/>
    <w:next w:val="Tablaconcuadrcula4-nfasis1"/>
    <w:uiPriority w:val="49"/>
    <w:rsid w:val="00824ACD"/>
    <w:pPr>
      <w:spacing w:after="0" w:line="240" w:lineRule="auto"/>
    </w:pPr>
    <w:rPr>
      <w:rFonts w:ascii="Arial" w:eastAsia="Arial" w:hAnsi="Arial" w:cs="Arial"/>
      <w:lang w:val="en-US" w:eastAsia="es-E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adecuadrcula7concolores-nfasis11">
    <w:name w:val="Tabla de cuadrícula 7 con colores - Énfasis 11"/>
    <w:basedOn w:val="Tablanormal"/>
    <w:next w:val="Tablaconcuadrcula7concolores-nfasis1"/>
    <w:uiPriority w:val="52"/>
    <w:rsid w:val="00824ACD"/>
    <w:pPr>
      <w:spacing w:after="0" w:line="240" w:lineRule="auto"/>
    </w:pPr>
    <w:rPr>
      <w:rFonts w:ascii="Arial" w:eastAsia="Arial" w:hAnsi="Arial" w:cs="Arial"/>
      <w:color w:val="365F91"/>
      <w:lang w:val="en-US" w:eastAsia="es-E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table" w:customStyle="1" w:styleId="Tabladelista4-nfasis11">
    <w:name w:val="Tabla de lista 4 - Énfasis 11"/>
    <w:basedOn w:val="Tablanormal"/>
    <w:next w:val="Tabladelista4-nfasis1"/>
    <w:uiPriority w:val="49"/>
    <w:rsid w:val="00824ACD"/>
    <w:pPr>
      <w:spacing w:after="0" w:line="240" w:lineRule="auto"/>
    </w:pPr>
    <w:rPr>
      <w:rFonts w:ascii="Arial" w:eastAsia="Arial" w:hAnsi="Arial" w:cs="Arial"/>
      <w:lang w:val="en-US" w:eastAsia="es-E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styleId="Asuntodelcomentario">
    <w:name w:val="annotation subject"/>
    <w:basedOn w:val="Textocomentario"/>
    <w:next w:val="Textocomentario"/>
    <w:link w:val="AsuntodelcomentarioCar"/>
    <w:uiPriority w:val="99"/>
    <w:semiHidden/>
    <w:unhideWhenUsed/>
    <w:rsid w:val="00824ACD"/>
    <w:pPr>
      <w:spacing w:before="0" w:after="0"/>
      <w:jc w:val="left"/>
    </w:pPr>
    <w:rPr>
      <w:rFonts w:ascii="Times New Roman" w:hAnsi="Times New Roman" w:cs="Times New Roman"/>
      <w:b/>
      <w:bCs/>
      <w:lang w:eastAsia="es-MX"/>
    </w:rPr>
  </w:style>
  <w:style w:type="character" w:customStyle="1" w:styleId="AsuntodelcomentarioCar">
    <w:name w:val="Asunto del comentario Car"/>
    <w:basedOn w:val="TextocomentarioCar"/>
    <w:link w:val="Asuntodelcomentario"/>
    <w:uiPriority w:val="99"/>
    <w:semiHidden/>
    <w:rsid w:val="00824ACD"/>
    <w:rPr>
      <w:rFonts w:ascii="Times New Roman" w:eastAsia="Times New Roman" w:hAnsi="Times New Roman" w:cs="Times New Roman"/>
      <w:b/>
      <w:bCs/>
      <w:sz w:val="20"/>
      <w:szCs w:val="20"/>
      <w:lang w:eastAsia="es-MX"/>
    </w:rPr>
  </w:style>
  <w:style w:type="table" w:customStyle="1" w:styleId="Tablaconcuadrcula1">
    <w:name w:val="Tabla con cuadrícula1"/>
    <w:basedOn w:val="Tablanormal"/>
    <w:next w:val="Tablaconcuadrcula"/>
    <w:uiPriority w:val="39"/>
    <w:rsid w:val="00824A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4">
    <w:name w:val="toc 4"/>
    <w:basedOn w:val="Normal"/>
    <w:next w:val="Normal"/>
    <w:autoRedefine/>
    <w:uiPriority w:val="39"/>
    <w:unhideWhenUsed/>
    <w:rsid w:val="00824ACD"/>
    <w:pPr>
      <w:spacing w:after="100" w:line="240" w:lineRule="auto"/>
      <w:ind w:left="660"/>
    </w:pPr>
    <w:rPr>
      <w:rFonts w:ascii="Times New Roman" w:eastAsia="Times New Roman" w:hAnsi="Times New Roman" w:cs="Times New Roman"/>
      <w:sz w:val="24"/>
      <w:szCs w:val="24"/>
      <w:lang w:eastAsia="es-MX"/>
    </w:rPr>
  </w:style>
  <w:style w:type="character" w:customStyle="1" w:styleId="Ttulo7Car">
    <w:name w:val="Título 7 Car"/>
    <w:basedOn w:val="Fuentedeprrafopredeter"/>
    <w:link w:val="Ttulo7"/>
    <w:uiPriority w:val="9"/>
    <w:rsid w:val="00824ACD"/>
    <w:rPr>
      <w:rFonts w:ascii="Calibri" w:eastAsia="Times New Roman" w:hAnsi="Calibri" w:cs="Times New Roman"/>
      <w:i/>
      <w:iCs/>
      <w:color w:val="243F60"/>
      <w:lang w:val="es-ES_tradnl"/>
    </w:rPr>
  </w:style>
  <w:style w:type="character" w:customStyle="1" w:styleId="Ttulo8Car">
    <w:name w:val="Título 8 Car"/>
    <w:basedOn w:val="Fuentedeprrafopredeter"/>
    <w:link w:val="Ttulo8"/>
    <w:uiPriority w:val="9"/>
    <w:semiHidden/>
    <w:rsid w:val="00824ACD"/>
    <w:rPr>
      <w:rFonts w:ascii="Calibri" w:eastAsia="Times New Roman" w:hAnsi="Calibri" w:cs="Times New Roman"/>
      <w:color w:val="272727"/>
      <w:sz w:val="21"/>
      <w:szCs w:val="21"/>
      <w:lang w:val="es-ES_tradnl"/>
    </w:rPr>
  </w:style>
  <w:style w:type="character" w:customStyle="1" w:styleId="Ttulo9Car">
    <w:name w:val="Título 9 Car"/>
    <w:basedOn w:val="Fuentedeprrafopredeter"/>
    <w:link w:val="Ttulo9"/>
    <w:uiPriority w:val="9"/>
    <w:semiHidden/>
    <w:rsid w:val="00824ACD"/>
    <w:rPr>
      <w:rFonts w:ascii="Calibri" w:eastAsia="Times New Roman" w:hAnsi="Calibri" w:cs="Times New Roman"/>
      <w:i/>
      <w:iCs/>
      <w:color w:val="272727"/>
      <w:sz w:val="21"/>
      <w:szCs w:val="21"/>
      <w:lang w:val="es-ES_tradnl"/>
    </w:rPr>
  </w:style>
  <w:style w:type="table" w:customStyle="1" w:styleId="TableNormal3">
    <w:name w:val="Table Normal3"/>
    <w:rsid w:val="00824ACD"/>
    <w:pPr>
      <w:spacing w:after="0" w:line="276" w:lineRule="auto"/>
    </w:pPr>
    <w:rPr>
      <w:rFonts w:ascii="Arial" w:eastAsia="Arial" w:hAnsi="Arial" w:cs="Arial"/>
      <w:lang w:val="en-US" w:eastAsia="es-ES"/>
    </w:rPr>
    <w:tblPr>
      <w:tblCellMar>
        <w:top w:w="0" w:type="dxa"/>
        <w:left w:w="0" w:type="dxa"/>
        <w:bottom w:w="0" w:type="dxa"/>
        <w:right w:w="0" w:type="dxa"/>
      </w:tblCellMar>
    </w:tblPr>
  </w:style>
  <w:style w:type="table" w:customStyle="1" w:styleId="TableNormal2">
    <w:name w:val="Table Normal2"/>
    <w:rsid w:val="00824ACD"/>
    <w:pPr>
      <w:spacing w:after="0" w:line="276" w:lineRule="auto"/>
    </w:pPr>
    <w:rPr>
      <w:rFonts w:ascii="Arial" w:eastAsia="Arial" w:hAnsi="Arial" w:cs="Arial"/>
      <w:lang w:val="en-US" w:eastAsia="es-ES"/>
    </w:rPr>
    <w:tblPr>
      <w:tblCellMar>
        <w:top w:w="0" w:type="dxa"/>
        <w:left w:w="0" w:type="dxa"/>
        <w:bottom w:w="0" w:type="dxa"/>
        <w:right w:w="0" w:type="dxa"/>
      </w:tblCellMar>
    </w:tblPr>
  </w:style>
  <w:style w:type="table" w:customStyle="1" w:styleId="TableNormal1">
    <w:name w:val="Table Normal1"/>
    <w:rsid w:val="00824ACD"/>
    <w:pPr>
      <w:spacing w:after="0" w:line="276" w:lineRule="auto"/>
    </w:pPr>
    <w:rPr>
      <w:rFonts w:ascii="Arial" w:eastAsia="Arial" w:hAnsi="Arial" w:cs="Arial"/>
      <w:lang w:val="en-US" w:eastAsia="es-ES"/>
    </w:rPr>
    <w:tblPr>
      <w:tblCellMar>
        <w:top w:w="0" w:type="dxa"/>
        <w:left w:w="0" w:type="dxa"/>
        <w:bottom w:w="0" w:type="dxa"/>
        <w:right w:w="0" w:type="dxa"/>
      </w:tblCellMar>
    </w:tblPr>
  </w:style>
  <w:style w:type="table" w:customStyle="1" w:styleId="51">
    <w:name w:val="51"/>
    <w:basedOn w:val="TableNormal1"/>
    <w:rsid w:val="00824ACD"/>
    <w:pPr>
      <w:spacing w:line="240" w:lineRule="auto"/>
    </w:pPr>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50">
    <w:name w:val="50"/>
    <w:basedOn w:val="TableNormal1"/>
    <w:rsid w:val="00824ACD"/>
    <w:pPr>
      <w:spacing w:line="240" w:lineRule="auto"/>
    </w:pPr>
    <w:rPr>
      <w:rFonts w:ascii="Calibri" w:eastAsia="Calibri" w:hAnsi="Calibri" w:cs="Calibri"/>
      <w:sz w:val="20"/>
      <w:szCs w:val="20"/>
    </w:rPr>
    <w:tblPr>
      <w:tblStyleRowBandSize w:val="1"/>
      <w:tblStyleColBandSize w:val="1"/>
      <w:tblCellMar>
        <w:left w:w="108" w:type="dxa"/>
        <w:right w:w="108"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49">
    <w:name w:val="49"/>
    <w:basedOn w:val="TableNormal1"/>
    <w:rsid w:val="00824ACD"/>
    <w:tblPr>
      <w:tblStyleRowBandSize w:val="1"/>
      <w:tblStyleColBandSize w:val="1"/>
      <w:tblCellMar>
        <w:left w:w="70" w:type="dxa"/>
        <w:right w:w="70" w:type="dxa"/>
      </w:tblCellMar>
    </w:tblPr>
  </w:style>
  <w:style w:type="table" w:customStyle="1" w:styleId="48">
    <w:name w:val="48"/>
    <w:basedOn w:val="TableNormal1"/>
    <w:rsid w:val="00824ACD"/>
    <w:tblPr>
      <w:tblStyleRowBandSize w:val="1"/>
      <w:tblStyleColBandSize w:val="1"/>
      <w:tblCellMar>
        <w:left w:w="70" w:type="dxa"/>
        <w:right w:w="70" w:type="dxa"/>
      </w:tblCellMar>
    </w:tblPr>
  </w:style>
  <w:style w:type="table" w:customStyle="1" w:styleId="47">
    <w:name w:val="47"/>
    <w:basedOn w:val="TableNormal1"/>
    <w:rsid w:val="00824ACD"/>
    <w:pPr>
      <w:spacing w:line="240" w:lineRule="auto"/>
    </w:pPr>
    <w:rPr>
      <w:rFonts w:ascii="Calibri" w:eastAsia="Calibri" w:hAnsi="Calibri" w:cs="Calibri"/>
      <w:sz w:val="20"/>
      <w:szCs w:val="20"/>
    </w:rPr>
    <w:tblPr>
      <w:tblStyleRowBandSize w:val="1"/>
      <w:tblStyleColBandSize w:val="1"/>
      <w:tblCellMar>
        <w:left w:w="70" w:type="dxa"/>
        <w:right w:w="70" w:type="dxa"/>
      </w:tblCellMar>
    </w:tblPr>
  </w:style>
  <w:style w:type="table" w:customStyle="1" w:styleId="46">
    <w:name w:val="46"/>
    <w:basedOn w:val="TableNormal1"/>
    <w:rsid w:val="00824ACD"/>
    <w:tblPr>
      <w:tblStyleRowBandSize w:val="1"/>
      <w:tblStyleColBandSize w:val="1"/>
      <w:tblCellMar>
        <w:left w:w="70" w:type="dxa"/>
        <w:right w:w="70" w:type="dxa"/>
      </w:tblCellMar>
    </w:tblPr>
  </w:style>
  <w:style w:type="table" w:customStyle="1" w:styleId="45">
    <w:name w:val="45"/>
    <w:basedOn w:val="TableNormal1"/>
    <w:rsid w:val="00824ACD"/>
    <w:tblPr>
      <w:tblStyleRowBandSize w:val="1"/>
      <w:tblStyleColBandSize w:val="1"/>
      <w:tblCellMar>
        <w:left w:w="70" w:type="dxa"/>
        <w:right w:w="70" w:type="dxa"/>
      </w:tblCellMar>
    </w:tblPr>
  </w:style>
  <w:style w:type="table" w:customStyle="1" w:styleId="44">
    <w:name w:val="44"/>
    <w:basedOn w:val="TableNormal1"/>
    <w:rsid w:val="00824ACD"/>
    <w:pPr>
      <w:spacing w:line="240" w:lineRule="auto"/>
    </w:pPr>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43">
    <w:name w:val="43"/>
    <w:basedOn w:val="TableNormal1"/>
    <w:rsid w:val="00824ACD"/>
    <w:pPr>
      <w:spacing w:line="240" w:lineRule="auto"/>
    </w:pPr>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42">
    <w:name w:val="42"/>
    <w:basedOn w:val="TableNormal1"/>
    <w:rsid w:val="00824ACD"/>
    <w:pPr>
      <w:spacing w:line="240" w:lineRule="auto"/>
    </w:pPr>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41">
    <w:name w:val="41"/>
    <w:basedOn w:val="TableNormal1"/>
    <w:rsid w:val="00824ACD"/>
    <w:pPr>
      <w:spacing w:line="240" w:lineRule="auto"/>
    </w:pPr>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40">
    <w:name w:val="40"/>
    <w:basedOn w:val="TableNormal1"/>
    <w:rsid w:val="00824ACD"/>
    <w:pPr>
      <w:spacing w:line="240" w:lineRule="auto"/>
    </w:pPr>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39">
    <w:name w:val="39"/>
    <w:basedOn w:val="TableNormal1"/>
    <w:rsid w:val="00824ACD"/>
    <w:tblPr>
      <w:tblStyleRowBandSize w:val="1"/>
      <w:tblStyleColBandSize w:val="1"/>
      <w:tblCellMar>
        <w:left w:w="115" w:type="dxa"/>
        <w:right w:w="115" w:type="dxa"/>
      </w:tblCellMar>
    </w:tblPr>
  </w:style>
  <w:style w:type="table" w:customStyle="1" w:styleId="38">
    <w:name w:val="38"/>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37">
    <w:name w:val="37"/>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36">
    <w:name w:val="36"/>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35">
    <w:name w:val="35"/>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34">
    <w:name w:val="34"/>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33">
    <w:name w:val="33"/>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32">
    <w:name w:val="32"/>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31">
    <w:name w:val="3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30">
    <w:name w:val="30"/>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29">
    <w:name w:val="29"/>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28">
    <w:name w:val="28"/>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27">
    <w:name w:val="27"/>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26">
    <w:name w:val="26"/>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25">
    <w:name w:val="25"/>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24">
    <w:name w:val="24"/>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23">
    <w:name w:val="23"/>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22">
    <w:name w:val="22"/>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21">
    <w:name w:val="2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20">
    <w:name w:val="20"/>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9">
    <w:name w:val="19"/>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8">
    <w:name w:val="18"/>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7">
    <w:name w:val="17"/>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6">
    <w:name w:val="16"/>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5">
    <w:name w:val="15"/>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4">
    <w:name w:val="14"/>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3">
    <w:name w:val="13"/>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2">
    <w:name w:val="12"/>
    <w:basedOn w:val="TableNormal1"/>
    <w:rsid w:val="00824ACD"/>
    <w:pPr>
      <w:spacing w:line="240" w:lineRule="auto"/>
    </w:pPr>
    <w:rPr>
      <w:rFonts w:ascii="Calibri" w:eastAsia="Calibri" w:hAnsi="Calibri" w:cs="Calibri"/>
      <w:sz w:val="20"/>
      <w:szCs w:val="20"/>
    </w:rPr>
    <w:tblPr>
      <w:tblStyleRowBandSize w:val="1"/>
      <w:tblStyleColBandSize w:val="1"/>
      <w:tblCellMar>
        <w:left w:w="108" w:type="dxa"/>
        <w:right w:w="108"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11">
    <w:name w:val="11"/>
    <w:basedOn w:val="TableNormal1"/>
    <w:rsid w:val="00824ACD"/>
    <w:pPr>
      <w:spacing w:line="240" w:lineRule="auto"/>
    </w:pPr>
    <w:rPr>
      <w:rFonts w:ascii="Calibri" w:eastAsia="Calibri" w:hAnsi="Calibri" w:cs="Calibri"/>
      <w:sz w:val="20"/>
      <w:szCs w:val="20"/>
    </w:rPr>
    <w:tblPr>
      <w:tblStyleRowBandSize w:val="1"/>
      <w:tblStyleColBandSize w:val="1"/>
      <w:tblCellMar>
        <w:left w:w="108" w:type="dxa"/>
        <w:right w:w="108"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10">
    <w:name w:val="10"/>
    <w:basedOn w:val="TableNormal1"/>
    <w:rsid w:val="00824ACD"/>
    <w:pPr>
      <w:spacing w:line="240" w:lineRule="auto"/>
    </w:pPr>
    <w:rPr>
      <w:rFonts w:ascii="Calibri" w:eastAsia="Calibri" w:hAnsi="Calibri" w:cs="Calibri"/>
      <w:sz w:val="20"/>
      <w:szCs w:val="20"/>
    </w:rPr>
    <w:tblPr>
      <w:tblStyleRowBandSize w:val="1"/>
      <w:tblStyleColBandSize w:val="1"/>
      <w:tblCellMar>
        <w:left w:w="108" w:type="dxa"/>
        <w:right w:w="108"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9">
    <w:name w:val="9"/>
    <w:basedOn w:val="TableNormal1"/>
    <w:rsid w:val="00824ACD"/>
    <w:pPr>
      <w:spacing w:line="240" w:lineRule="auto"/>
    </w:pPr>
    <w:rPr>
      <w:rFonts w:ascii="Calibri" w:eastAsia="Calibri" w:hAnsi="Calibri" w:cs="Calibri"/>
      <w:sz w:val="20"/>
      <w:szCs w:val="20"/>
    </w:rPr>
    <w:tblPr>
      <w:tblStyleRowBandSize w:val="1"/>
      <w:tblStyleColBandSize w:val="1"/>
      <w:tblCellMar>
        <w:left w:w="108" w:type="dxa"/>
        <w:right w:w="108"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8">
    <w:name w:val="8"/>
    <w:basedOn w:val="TableNormal1"/>
    <w:rsid w:val="00824ACD"/>
    <w:tblPr>
      <w:tblStyleRowBandSize w:val="1"/>
      <w:tblStyleColBandSize w:val="1"/>
      <w:tblCellMar>
        <w:left w:w="70" w:type="dxa"/>
        <w:right w:w="70" w:type="dxa"/>
      </w:tblCellMar>
    </w:tblPr>
  </w:style>
  <w:style w:type="table" w:customStyle="1" w:styleId="7">
    <w:name w:val="7"/>
    <w:basedOn w:val="TableNormal1"/>
    <w:rsid w:val="00824ACD"/>
    <w:tblPr>
      <w:tblStyleRowBandSize w:val="1"/>
      <w:tblStyleColBandSize w:val="1"/>
      <w:tblCellMar>
        <w:left w:w="70" w:type="dxa"/>
        <w:right w:w="70" w:type="dxa"/>
      </w:tblCellMar>
    </w:tblPr>
  </w:style>
  <w:style w:type="table" w:customStyle="1" w:styleId="6">
    <w:name w:val="6"/>
    <w:basedOn w:val="TableNormal1"/>
    <w:rsid w:val="00824ACD"/>
    <w:tblPr>
      <w:tblStyleRowBandSize w:val="1"/>
      <w:tblStyleColBandSize w:val="1"/>
      <w:tblCellMar>
        <w:left w:w="70" w:type="dxa"/>
        <w:right w:w="70" w:type="dxa"/>
      </w:tblCellMar>
    </w:tblPr>
  </w:style>
  <w:style w:type="table" w:customStyle="1" w:styleId="5">
    <w:name w:val="5"/>
    <w:basedOn w:val="TableNormal1"/>
    <w:rsid w:val="00824ACD"/>
    <w:tblPr>
      <w:tblStyleRowBandSize w:val="1"/>
      <w:tblStyleColBandSize w:val="1"/>
      <w:tblCellMar>
        <w:left w:w="70" w:type="dxa"/>
        <w:right w:w="70" w:type="dxa"/>
      </w:tblCellMar>
    </w:tblPr>
  </w:style>
  <w:style w:type="table" w:customStyle="1" w:styleId="4">
    <w:name w:val="4"/>
    <w:basedOn w:val="TableNormal1"/>
    <w:rsid w:val="00824ACD"/>
    <w:tblPr>
      <w:tblStyleRowBandSize w:val="1"/>
      <w:tblStyleColBandSize w:val="1"/>
      <w:tblCellMar>
        <w:left w:w="70" w:type="dxa"/>
        <w:right w:w="70" w:type="dxa"/>
      </w:tblCellMar>
    </w:tblPr>
  </w:style>
  <w:style w:type="table" w:customStyle="1" w:styleId="3">
    <w:name w:val="3"/>
    <w:basedOn w:val="TableNormal1"/>
    <w:rsid w:val="00824ACD"/>
    <w:tblPr>
      <w:tblStyleRowBandSize w:val="1"/>
      <w:tblStyleColBandSize w:val="1"/>
      <w:tblCellMar>
        <w:left w:w="70" w:type="dxa"/>
        <w:right w:w="70" w:type="dxa"/>
      </w:tblCellMar>
    </w:tblPr>
  </w:style>
  <w:style w:type="table" w:customStyle="1" w:styleId="2">
    <w:name w:val="2"/>
    <w:basedOn w:val="TableNormal1"/>
    <w:rsid w:val="00824ACD"/>
    <w:tblPr>
      <w:tblStyleRowBandSize w:val="1"/>
      <w:tblStyleColBandSize w:val="1"/>
      <w:tblCellMar>
        <w:left w:w="70" w:type="dxa"/>
        <w:right w:w="70" w:type="dxa"/>
      </w:tblCellMar>
    </w:tblPr>
  </w:style>
  <w:style w:type="table" w:customStyle="1" w:styleId="1">
    <w:name w:val="1"/>
    <w:basedOn w:val="TableNormal1"/>
    <w:rsid w:val="00824ACD"/>
    <w:tblPr>
      <w:tblStyleRowBandSize w:val="1"/>
      <w:tblStyleColBandSize w:val="1"/>
      <w:tblCellMar>
        <w:left w:w="70" w:type="dxa"/>
        <w:right w:w="70" w:type="dxa"/>
      </w:tblCellMar>
    </w:tblPr>
  </w:style>
  <w:style w:type="paragraph" w:customStyle="1" w:styleId="Grfica">
    <w:name w:val="Gráfica"/>
    <w:basedOn w:val="Normal"/>
    <w:link w:val="GrficaCar"/>
    <w:rsid w:val="00824ACD"/>
    <w:rPr>
      <w:rFonts w:ascii="Times New Roman" w:eastAsia="Times New Roman" w:hAnsi="Times New Roman"/>
      <w:color w:val="002060"/>
      <w:sz w:val="24"/>
      <w:szCs w:val="24"/>
    </w:rPr>
  </w:style>
  <w:style w:type="character" w:customStyle="1" w:styleId="GrficaCar">
    <w:name w:val="Gráfica Car"/>
    <w:basedOn w:val="Fuentedeprrafopredeter"/>
    <w:link w:val="Grfica"/>
    <w:rsid w:val="00824ACD"/>
    <w:rPr>
      <w:rFonts w:ascii="Times New Roman" w:eastAsia="Times New Roman" w:hAnsi="Times New Roman"/>
      <w:color w:val="002060"/>
      <w:sz w:val="24"/>
      <w:szCs w:val="24"/>
    </w:rPr>
  </w:style>
  <w:style w:type="paragraph" w:customStyle="1" w:styleId="SECCION">
    <w:name w:val="SECCION"/>
    <w:basedOn w:val="Prrafodelista"/>
    <w:link w:val="SECCIONCar"/>
    <w:qFormat/>
    <w:rsid w:val="00824ACD"/>
    <w:pPr>
      <w:keepNext/>
      <w:keepLines/>
      <w:spacing w:before="400" w:after="120" w:line="240" w:lineRule="auto"/>
      <w:ind w:left="1080" w:hanging="360"/>
      <w:contextualSpacing w:val="0"/>
      <w:jc w:val="center"/>
      <w:outlineLvl w:val="0"/>
    </w:pPr>
    <w:rPr>
      <w:rFonts w:ascii="Times New Roman" w:eastAsia="Times New Roman" w:hAnsi="Times New Roman" w:cs="Times New Roman"/>
      <w:b/>
      <w:color w:val="002060"/>
      <w:sz w:val="28"/>
      <w:szCs w:val="30"/>
      <w:lang w:eastAsia="es-MX"/>
    </w:rPr>
  </w:style>
  <w:style w:type="character" w:customStyle="1" w:styleId="SECCIONCar">
    <w:name w:val="SECCION Car"/>
    <w:basedOn w:val="PrrafodelistaCar"/>
    <w:link w:val="SECCION"/>
    <w:rsid w:val="00824ACD"/>
    <w:rPr>
      <w:rFonts w:ascii="Times New Roman" w:eastAsia="Times New Roman" w:hAnsi="Times New Roman" w:cs="Times New Roman"/>
      <w:b/>
      <w:color w:val="002060"/>
      <w:sz w:val="28"/>
      <w:szCs w:val="30"/>
      <w:lang w:eastAsia="es-MX"/>
    </w:rPr>
  </w:style>
  <w:style w:type="paragraph" w:customStyle="1" w:styleId="Ttulo20">
    <w:name w:val="Título2"/>
    <w:basedOn w:val="Normal"/>
    <w:link w:val="Ttulo2Car0"/>
    <w:rsid w:val="00824ACD"/>
    <w:pPr>
      <w:spacing w:after="0" w:line="240" w:lineRule="auto"/>
    </w:pPr>
    <w:rPr>
      <w:rFonts w:ascii="Times New Roman" w:eastAsia="Times New Roman" w:hAnsi="Times New Roman" w:cs="Times New Roman"/>
      <w:b/>
      <w:color w:val="193052"/>
      <w:sz w:val="24"/>
      <w:szCs w:val="24"/>
      <w:lang w:eastAsia="es-MX"/>
    </w:rPr>
  </w:style>
  <w:style w:type="character" w:customStyle="1" w:styleId="Ttulo2Car0">
    <w:name w:val="Título2 Car"/>
    <w:basedOn w:val="Fuentedeprrafopredeter"/>
    <w:link w:val="Ttulo20"/>
    <w:rsid w:val="00824ACD"/>
    <w:rPr>
      <w:rFonts w:ascii="Times New Roman" w:eastAsia="Times New Roman" w:hAnsi="Times New Roman" w:cs="Times New Roman"/>
      <w:b/>
      <w:color w:val="193052"/>
      <w:sz w:val="24"/>
      <w:szCs w:val="24"/>
      <w:lang w:eastAsia="es-MX"/>
    </w:rPr>
  </w:style>
  <w:style w:type="paragraph" w:customStyle="1" w:styleId="Grficas">
    <w:name w:val="Gráficas"/>
    <w:basedOn w:val="Descripcin"/>
    <w:link w:val="GrficasCar"/>
    <w:qFormat/>
    <w:rsid w:val="00824ACD"/>
    <w:pPr>
      <w:spacing w:before="0" w:after="0"/>
      <w:jc w:val="center"/>
    </w:pPr>
    <w:rPr>
      <w:rFonts w:ascii="Times New Roman" w:hAnsi="Times New Roman" w:cs="Times New Roman"/>
      <w:b w:val="0"/>
      <w:bCs/>
      <w:color w:val="000000"/>
      <w:lang w:eastAsia="es-MX"/>
    </w:rPr>
  </w:style>
  <w:style w:type="character" w:customStyle="1" w:styleId="DescripcinCar">
    <w:name w:val="Descripción Car"/>
    <w:aliases w:val="Table/Figure Heading Car"/>
    <w:basedOn w:val="Fuentedeprrafopredeter"/>
    <w:link w:val="Descripcin"/>
    <w:uiPriority w:val="35"/>
    <w:rsid w:val="00824ACD"/>
    <w:rPr>
      <w:rFonts w:ascii="Arial" w:eastAsia="Times New Roman" w:hAnsi="Arial" w:cs="Arial"/>
      <w:b/>
      <w:szCs w:val="24"/>
      <w:lang w:eastAsia="es-ES"/>
    </w:rPr>
  </w:style>
  <w:style w:type="character" w:customStyle="1" w:styleId="GrficasCar">
    <w:name w:val="Gráficas Car"/>
    <w:basedOn w:val="DescripcinCar"/>
    <w:link w:val="Grficas"/>
    <w:rsid w:val="00824ACD"/>
    <w:rPr>
      <w:rFonts w:ascii="Times New Roman" w:eastAsia="Times New Roman" w:hAnsi="Times New Roman" w:cs="Times New Roman"/>
      <w:b w:val="0"/>
      <w:bCs/>
      <w:color w:val="000000"/>
      <w:szCs w:val="24"/>
      <w:lang w:eastAsia="es-MX"/>
    </w:rPr>
  </w:style>
  <w:style w:type="paragraph" w:customStyle="1" w:styleId="Fuentes">
    <w:name w:val="Fuentes"/>
    <w:basedOn w:val="Sinespaciado"/>
    <w:link w:val="FuentesCar"/>
    <w:qFormat/>
    <w:rsid w:val="00824ACD"/>
    <w:pPr>
      <w:tabs>
        <w:tab w:val="left" w:pos="142"/>
      </w:tabs>
      <w:jc w:val="right"/>
    </w:pPr>
    <w:rPr>
      <w:color w:val="193052"/>
      <w:sz w:val="18"/>
      <w:szCs w:val="20"/>
    </w:rPr>
  </w:style>
  <w:style w:type="character" w:customStyle="1" w:styleId="SinespaciadoCar">
    <w:name w:val="Sin espaciado Car"/>
    <w:basedOn w:val="Fuentedeprrafopredeter"/>
    <w:link w:val="Sinespaciado"/>
    <w:uiPriority w:val="1"/>
    <w:rsid w:val="00824ACD"/>
    <w:rPr>
      <w:rFonts w:ascii="Arial" w:eastAsia="Arial" w:hAnsi="Arial" w:cs="Arial"/>
      <w:lang w:val="en-US" w:eastAsia="es-ES"/>
    </w:rPr>
  </w:style>
  <w:style w:type="character" w:customStyle="1" w:styleId="FuentesCar">
    <w:name w:val="Fuentes Car"/>
    <w:basedOn w:val="SinespaciadoCar"/>
    <w:link w:val="Fuentes"/>
    <w:rsid w:val="00824ACD"/>
    <w:rPr>
      <w:rFonts w:ascii="Arial" w:eastAsia="Arial" w:hAnsi="Arial" w:cs="Arial"/>
      <w:color w:val="193052"/>
      <w:sz w:val="18"/>
      <w:szCs w:val="20"/>
      <w:lang w:val="en-US" w:eastAsia="es-ES"/>
    </w:rPr>
  </w:style>
  <w:style w:type="paragraph" w:customStyle="1" w:styleId="Ttulo03">
    <w:name w:val="Título03"/>
    <w:basedOn w:val="Ttulo3"/>
    <w:link w:val="Ttulo03Car"/>
    <w:qFormat/>
    <w:rsid w:val="00824ACD"/>
    <w:pPr>
      <w:spacing w:before="0"/>
      <w:ind w:left="1224" w:hanging="360"/>
    </w:pPr>
    <w:rPr>
      <w:b/>
      <w:i/>
      <w:color w:val="193052"/>
      <w:sz w:val="24"/>
      <w:szCs w:val="26"/>
    </w:rPr>
  </w:style>
  <w:style w:type="character" w:customStyle="1" w:styleId="Ttulo03Car">
    <w:name w:val="Título03 Car"/>
    <w:basedOn w:val="Ttulo3Car"/>
    <w:link w:val="Ttulo03"/>
    <w:rsid w:val="00824ACD"/>
    <w:rPr>
      <w:rFonts w:ascii="Times New Roman" w:eastAsia="Times New Roman" w:hAnsi="Times New Roman" w:cs="Times New Roman"/>
      <w:b/>
      <w:i/>
      <w:color w:val="193052"/>
      <w:sz w:val="24"/>
      <w:szCs w:val="26"/>
      <w:lang w:eastAsia="es-MX"/>
    </w:rPr>
  </w:style>
  <w:style w:type="paragraph" w:customStyle="1" w:styleId="Ttulo02">
    <w:name w:val="Título02"/>
    <w:basedOn w:val="Ttulo2"/>
    <w:link w:val="Ttulo02Car"/>
    <w:qFormat/>
    <w:rsid w:val="00824ACD"/>
    <w:pPr>
      <w:numPr>
        <w:numId w:val="1"/>
      </w:numPr>
      <w:spacing w:before="0"/>
      <w:jc w:val="both"/>
    </w:pPr>
    <w:rPr>
      <w:b/>
      <w:color w:val="193052"/>
      <w:sz w:val="24"/>
      <w:szCs w:val="26"/>
    </w:rPr>
  </w:style>
  <w:style w:type="character" w:customStyle="1" w:styleId="Ttulo02Car">
    <w:name w:val="Título02 Car"/>
    <w:basedOn w:val="Fuentedeprrafopredeter"/>
    <w:link w:val="Ttulo02"/>
    <w:rsid w:val="00824ACD"/>
    <w:rPr>
      <w:rFonts w:ascii="Times New Roman" w:eastAsia="Times New Roman" w:hAnsi="Times New Roman" w:cs="Times New Roman"/>
      <w:b/>
      <w:color w:val="193052"/>
      <w:sz w:val="24"/>
      <w:szCs w:val="26"/>
      <w:lang w:eastAsia="es-MX"/>
    </w:rPr>
  </w:style>
  <w:style w:type="paragraph" w:customStyle="1" w:styleId="Ttulo01">
    <w:name w:val="Título01"/>
    <w:basedOn w:val="Ttulo1"/>
    <w:link w:val="Ttulo01Car"/>
    <w:qFormat/>
    <w:rsid w:val="00824ACD"/>
    <w:pPr>
      <w:ind w:left="360"/>
    </w:pPr>
    <w:rPr>
      <w:b/>
      <w:color w:val="BBBE00"/>
      <w:sz w:val="24"/>
    </w:rPr>
  </w:style>
  <w:style w:type="character" w:customStyle="1" w:styleId="Ttulo01Car">
    <w:name w:val="Título01 Car"/>
    <w:basedOn w:val="SECCIONCar"/>
    <w:link w:val="Ttulo01"/>
    <w:rsid w:val="00824ACD"/>
    <w:rPr>
      <w:rFonts w:ascii="Times New Roman" w:eastAsia="Times New Roman" w:hAnsi="Times New Roman" w:cs="Times New Roman"/>
      <w:b/>
      <w:color w:val="BBBE00"/>
      <w:sz w:val="24"/>
      <w:szCs w:val="40"/>
      <w:lang w:eastAsia="es-MX"/>
    </w:rPr>
  </w:style>
  <w:style w:type="character" w:customStyle="1" w:styleId="Mencinsinresolver2">
    <w:name w:val="Mención sin resolver2"/>
    <w:basedOn w:val="Fuentedeprrafopredeter"/>
    <w:uiPriority w:val="99"/>
    <w:semiHidden/>
    <w:unhideWhenUsed/>
    <w:rsid w:val="00824ACD"/>
    <w:rPr>
      <w:color w:val="605E5C"/>
      <w:shd w:val="clear" w:color="auto" w:fill="E1DFDD"/>
    </w:rPr>
  </w:style>
  <w:style w:type="paragraph" w:styleId="Tabladeilustraciones">
    <w:name w:val="table of figures"/>
    <w:basedOn w:val="Normal"/>
    <w:next w:val="Normal"/>
    <w:uiPriority w:val="99"/>
    <w:semiHidden/>
    <w:unhideWhenUsed/>
    <w:rsid w:val="00824ACD"/>
    <w:pPr>
      <w:spacing w:after="0" w:line="240" w:lineRule="auto"/>
    </w:pPr>
    <w:rPr>
      <w:rFonts w:ascii="Times New Roman" w:eastAsia="Times New Roman" w:hAnsi="Times New Roman" w:cs="Times New Roman"/>
      <w:sz w:val="24"/>
      <w:szCs w:val="24"/>
      <w:lang w:val="es-ES_tradnl" w:eastAsia="es-MX"/>
    </w:rPr>
  </w:style>
  <w:style w:type="paragraph" w:styleId="Revisin">
    <w:name w:val="Revision"/>
    <w:hidden/>
    <w:uiPriority w:val="99"/>
    <w:semiHidden/>
    <w:rsid w:val="00824ACD"/>
    <w:pPr>
      <w:spacing w:after="0" w:line="240" w:lineRule="auto"/>
    </w:pPr>
    <w:rPr>
      <w:rFonts w:ascii="Arial" w:eastAsia="Arial" w:hAnsi="Arial" w:cs="Arial"/>
      <w:lang w:val="es-ES_tradnl" w:eastAsia="es-ES"/>
    </w:rPr>
  </w:style>
  <w:style w:type="paragraph" w:customStyle="1" w:styleId="Ecuacin">
    <w:name w:val="Ecuación"/>
    <w:basedOn w:val="Fuentes"/>
    <w:link w:val="EcuacinCar"/>
    <w:qFormat/>
    <w:rsid w:val="00824ACD"/>
  </w:style>
  <w:style w:type="character" w:customStyle="1" w:styleId="EcuacinCar">
    <w:name w:val="Ecuación Car"/>
    <w:basedOn w:val="FuentesCar"/>
    <w:link w:val="Ecuacin"/>
    <w:rsid w:val="00824ACD"/>
    <w:rPr>
      <w:rFonts w:ascii="Arial" w:eastAsia="Arial" w:hAnsi="Arial" w:cs="Arial"/>
      <w:color w:val="193052"/>
      <w:sz w:val="18"/>
      <w:szCs w:val="20"/>
      <w:lang w:val="en-US" w:eastAsia="es-ES"/>
    </w:rPr>
  </w:style>
  <w:style w:type="character" w:customStyle="1" w:styleId="Hipervnculovisitado1">
    <w:name w:val="Hipervínculo visitado1"/>
    <w:basedOn w:val="Fuentedeprrafopredeter"/>
    <w:uiPriority w:val="99"/>
    <w:semiHidden/>
    <w:unhideWhenUsed/>
    <w:rsid w:val="00824ACD"/>
    <w:rPr>
      <w:color w:val="800080"/>
      <w:u w:val="single"/>
    </w:rPr>
  </w:style>
  <w:style w:type="character" w:styleId="Textodelmarcadordeposicin">
    <w:name w:val="Placeholder Text"/>
    <w:basedOn w:val="Fuentedeprrafopredeter"/>
    <w:uiPriority w:val="99"/>
    <w:semiHidden/>
    <w:rsid w:val="00824ACD"/>
    <w:rPr>
      <w:color w:val="666666"/>
    </w:rPr>
  </w:style>
  <w:style w:type="paragraph" w:customStyle="1" w:styleId="Estilo1">
    <w:name w:val="Estilo1"/>
    <w:basedOn w:val="Ttulo1"/>
    <w:link w:val="Estilo1Car"/>
    <w:qFormat/>
    <w:rsid w:val="00824ACD"/>
    <w:pPr>
      <w:ind w:left="1440" w:hanging="360"/>
    </w:pPr>
    <w:rPr>
      <w:b/>
      <w:color w:val="BBBE00"/>
      <w:sz w:val="30"/>
      <w:szCs w:val="30"/>
    </w:rPr>
  </w:style>
  <w:style w:type="paragraph" w:customStyle="1" w:styleId="TDC51">
    <w:name w:val="TDC 51"/>
    <w:basedOn w:val="Normal"/>
    <w:next w:val="Normal"/>
    <w:autoRedefine/>
    <w:uiPriority w:val="39"/>
    <w:unhideWhenUsed/>
    <w:rsid w:val="00824ACD"/>
    <w:pPr>
      <w:spacing w:after="100" w:line="240" w:lineRule="auto"/>
      <w:ind w:left="960"/>
    </w:pPr>
    <w:rPr>
      <w:rFonts w:eastAsia="Times New Roman"/>
      <w:kern w:val="2"/>
      <w:sz w:val="24"/>
      <w:szCs w:val="24"/>
      <w:lang w:eastAsia="es-MX"/>
      <w14:ligatures w14:val="standardContextual"/>
    </w:rPr>
  </w:style>
  <w:style w:type="paragraph" w:customStyle="1" w:styleId="TDC61">
    <w:name w:val="TDC 61"/>
    <w:basedOn w:val="Normal"/>
    <w:next w:val="Normal"/>
    <w:autoRedefine/>
    <w:uiPriority w:val="39"/>
    <w:unhideWhenUsed/>
    <w:rsid w:val="00824ACD"/>
    <w:pPr>
      <w:spacing w:after="100" w:line="240" w:lineRule="auto"/>
      <w:ind w:left="1200"/>
    </w:pPr>
    <w:rPr>
      <w:rFonts w:eastAsia="Times New Roman"/>
      <w:kern w:val="2"/>
      <w:sz w:val="24"/>
      <w:szCs w:val="24"/>
      <w:lang w:eastAsia="es-MX"/>
      <w14:ligatures w14:val="standardContextual"/>
    </w:rPr>
  </w:style>
  <w:style w:type="paragraph" w:customStyle="1" w:styleId="TDC71">
    <w:name w:val="TDC 71"/>
    <w:basedOn w:val="Normal"/>
    <w:next w:val="Normal"/>
    <w:autoRedefine/>
    <w:uiPriority w:val="39"/>
    <w:unhideWhenUsed/>
    <w:rsid w:val="00824ACD"/>
    <w:pPr>
      <w:spacing w:after="100" w:line="240" w:lineRule="auto"/>
      <w:ind w:left="1440"/>
    </w:pPr>
    <w:rPr>
      <w:rFonts w:eastAsia="Times New Roman"/>
      <w:kern w:val="2"/>
      <w:sz w:val="24"/>
      <w:szCs w:val="24"/>
      <w:lang w:eastAsia="es-MX"/>
      <w14:ligatures w14:val="standardContextual"/>
    </w:rPr>
  </w:style>
  <w:style w:type="paragraph" w:customStyle="1" w:styleId="TDC81">
    <w:name w:val="TDC 81"/>
    <w:basedOn w:val="Normal"/>
    <w:next w:val="Normal"/>
    <w:autoRedefine/>
    <w:uiPriority w:val="39"/>
    <w:unhideWhenUsed/>
    <w:rsid w:val="00824ACD"/>
    <w:pPr>
      <w:spacing w:after="100" w:line="240" w:lineRule="auto"/>
      <w:ind w:left="1680"/>
    </w:pPr>
    <w:rPr>
      <w:rFonts w:eastAsia="Times New Roman"/>
      <w:kern w:val="2"/>
      <w:sz w:val="24"/>
      <w:szCs w:val="24"/>
      <w:lang w:eastAsia="es-MX"/>
      <w14:ligatures w14:val="standardContextual"/>
    </w:rPr>
  </w:style>
  <w:style w:type="paragraph" w:customStyle="1" w:styleId="TDC91">
    <w:name w:val="TDC 91"/>
    <w:basedOn w:val="Normal"/>
    <w:next w:val="Normal"/>
    <w:autoRedefine/>
    <w:uiPriority w:val="39"/>
    <w:unhideWhenUsed/>
    <w:rsid w:val="00824ACD"/>
    <w:pPr>
      <w:spacing w:after="100" w:line="240" w:lineRule="auto"/>
      <w:ind w:left="1920"/>
    </w:pPr>
    <w:rPr>
      <w:rFonts w:eastAsia="Times New Roman"/>
      <w:kern w:val="2"/>
      <w:sz w:val="24"/>
      <w:szCs w:val="24"/>
      <w:lang w:eastAsia="es-MX"/>
      <w14:ligatures w14:val="standardContextual"/>
    </w:rPr>
  </w:style>
  <w:style w:type="table" w:customStyle="1" w:styleId="Tabladecuadrcula6concolores-nfasis11">
    <w:name w:val="Tabla de cuadrícula 6 con colores - Énfasis 11"/>
    <w:basedOn w:val="Tablanormal"/>
    <w:next w:val="Tablaconcuadrcula6concolores-nfasis1"/>
    <w:uiPriority w:val="51"/>
    <w:rsid w:val="00824ACD"/>
    <w:pPr>
      <w:spacing w:after="0" w:line="240" w:lineRule="auto"/>
    </w:pPr>
    <w:rPr>
      <w:rFonts w:ascii="Arial" w:eastAsia="Arial" w:hAnsi="Arial" w:cs="Arial"/>
      <w:color w:val="365F91"/>
      <w:lang w:val="en-US" w:eastAsia="es-E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adelista2-nfasis31">
    <w:name w:val="Tabla de lista 2 - Énfasis 31"/>
    <w:basedOn w:val="Tablanormal"/>
    <w:next w:val="Tabladelista2-nfasis3"/>
    <w:uiPriority w:val="47"/>
    <w:rsid w:val="00824ACD"/>
    <w:pPr>
      <w:spacing w:after="0" w:line="240" w:lineRule="auto"/>
    </w:pPr>
    <w:rPr>
      <w:rFonts w:ascii="Arial" w:eastAsia="Arial" w:hAnsi="Arial" w:cs="Arial"/>
      <w:lang w:val="en-US" w:eastAsia="es-ES"/>
    </w:rPr>
    <w:tblPr>
      <w:tblStyleRowBandSize w:val="1"/>
      <w:tblStyleColBandSize w:val="1"/>
      <w:tblBorders>
        <w:top w:val="single" w:sz="4" w:space="0" w:color="C2D69B"/>
        <w:bottom w:val="single" w:sz="4" w:space="0" w:color="C2D69B"/>
        <w:insideH w:val="single" w:sz="4" w:space="0" w:color="C2D69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adelista6concolores-nfasis31">
    <w:name w:val="Tabla de lista 6 con colores - Énfasis 31"/>
    <w:basedOn w:val="Tablanormal"/>
    <w:next w:val="Tabladelista6concolores-nfasis3"/>
    <w:uiPriority w:val="51"/>
    <w:rsid w:val="00824ACD"/>
    <w:pPr>
      <w:spacing w:after="0" w:line="240" w:lineRule="auto"/>
    </w:pPr>
    <w:rPr>
      <w:rFonts w:ascii="Arial" w:eastAsia="Arial" w:hAnsi="Arial" w:cs="Arial"/>
      <w:color w:val="76923C"/>
      <w:lang w:val="en-US" w:eastAsia="es-ES"/>
    </w:rPr>
    <w:tblPr>
      <w:tblStyleRowBandSize w:val="1"/>
      <w:tblStyleColBandSize w:val="1"/>
      <w:tblBorders>
        <w:top w:val="single" w:sz="4" w:space="0" w:color="9BBB59"/>
        <w:bottom w:val="single" w:sz="4" w:space="0" w:color="9BBB59"/>
      </w:tblBorders>
    </w:tblPr>
    <w:tblStylePr w:type="firstRow">
      <w:rPr>
        <w:b/>
        <w:bCs/>
      </w:rPr>
      <w:tblPr/>
      <w:tcPr>
        <w:tcBorders>
          <w:bottom w:val="single" w:sz="4" w:space="0" w:color="9BBB59"/>
        </w:tcBorders>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adecuadrcula6concolores-nfasis51">
    <w:name w:val="Tabla de cuadrícula 6 con colores - Énfasis 51"/>
    <w:basedOn w:val="Tablanormal"/>
    <w:next w:val="Tablaconcuadrcula6concolores-nfasis5"/>
    <w:uiPriority w:val="51"/>
    <w:rsid w:val="00824ACD"/>
    <w:pPr>
      <w:spacing w:after="0" w:line="240" w:lineRule="auto"/>
    </w:pPr>
    <w:rPr>
      <w:rFonts w:ascii="Arial" w:eastAsia="Arial" w:hAnsi="Arial" w:cs="Arial"/>
      <w:color w:val="31849B"/>
      <w:lang w:val="en-US" w:eastAsia="es-E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bottom w:val="single" w:sz="12" w:space="0" w:color="92CDDC"/>
        </w:tcBorders>
      </w:tcPr>
    </w:tblStylePr>
    <w:tblStylePr w:type="lastRow">
      <w:rPr>
        <w:b/>
        <w:bCs/>
      </w:rPr>
      <w:tblPr/>
      <w:tcPr>
        <w:tcBorders>
          <w:top w:val="doub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Estilo1Car">
    <w:name w:val="Estilo1 Car"/>
    <w:basedOn w:val="Ttulo1Car"/>
    <w:link w:val="Estilo1"/>
    <w:rsid w:val="00824ACD"/>
    <w:rPr>
      <w:rFonts w:ascii="Times New Roman" w:eastAsia="Times New Roman" w:hAnsi="Times New Roman" w:cs="Times New Roman"/>
      <w:b/>
      <w:color w:val="BBBE00"/>
      <w:sz w:val="30"/>
      <w:szCs w:val="30"/>
      <w:lang w:eastAsia="es-MX"/>
    </w:rPr>
  </w:style>
  <w:style w:type="paragraph" w:customStyle="1" w:styleId="Ttulo10">
    <w:name w:val="Título1"/>
    <w:basedOn w:val="Estilo1"/>
    <w:link w:val="Ttulo1Car0"/>
    <w:qFormat/>
    <w:rsid w:val="00824ACD"/>
    <w:pPr>
      <w:numPr>
        <w:ilvl w:val="1"/>
      </w:numPr>
      <w:ind w:left="1440" w:hanging="360"/>
    </w:pPr>
  </w:style>
  <w:style w:type="character" w:customStyle="1" w:styleId="Ttulo1Car0">
    <w:name w:val="Título1 Car"/>
    <w:basedOn w:val="Estilo1Car"/>
    <w:link w:val="Ttulo10"/>
    <w:rsid w:val="00824ACD"/>
    <w:rPr>
      <w:rFonts w:ascii="Times New Roman" w:eastAsia="Times New Roman" w:hAnsi="Times New Roman" w:cs="Times New Roman"/>
      <w:b/>
      <w:color w:val="BBBE00"/>
      <w:sz w:val="30"/>
      <w:szCs w:val="30"/>
      <w:lang w:eastAsia="es-MX"/>
    </w:rPr>
  </w:style>
  <w:style w:type="character" w:styleId="Textoennegrita">
    <w:name w:val="Strong"/>
    <w:basedOn w:val="Fuentedeprrafopredeter"/>
    <w:uiPriority w:val="22"/>
    <w:qFormat/>
    <w:rsid w:val="00824ACD"/>
    <w:rPr>
      <w:b/>
      <w:bCs/>
    </w:rPr>
  </w:style>
  <w:style w:type="table" w:styleId="Tablaconcuadrcula1clara-nfasis3">
    <w:name w:val="Grid Table 1 Light Accent 3"/>
    <w:basedOn w:val="Tablanormal"/>
    <w:uiPriority w:val="46"/>
    <w:rsid w:val="00824ACD"/>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aconcuadrcula5oscura-nfasis3">
    <w:name w:val="Grid Table 5 Dark Accent 3"/>
    <w:basedOn w:val="Tablanormal"/>
    <w:uiPriority w:val="50"/>
    <w:rsid w:val="00824AC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aconcuadrcula6concolores-nfasis3">
    <w:name w:val="Grid Table 6 Colorful Accent 3"/>
    <w:basedOn w:val="Tablanormal"/>
    <w:uiPriority w:val="51"/>
    <w:rsid w:val="00824ACD"/>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concuadrcula7concolores-nfasis3">
    <w:name w:val="Grid Table 7 Colorful Accent 3"/>
    <w:basedOn w:val="Tablanormal"/>
    <w:uiPriority w:val="52"/>
    <w:rsid w:val="00824ACD"/>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adelista4-nfasis3">
    <w:name w:val="List Table 4 Accent 3"/>
    <w:basedOn w:val="Tablanormal"/>
    <w:uiPriority w:val="49"/>
    <w:rsid w:val="00824ACD"/>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concuadrcula3-nfasis3">
    <w:name w:val="Grid Table 3 Accent 3"/>
    <w:basedOn w:val="Tablanormal"/>
    <w:uiPriority w:val="48"/>
    <w:rsid w:val="00824ACD"/>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aconcuadrcula4-nfasis3">
    <w:name w:val="Grid Table 4 Accent 3"/>
    <w:basedOn w:val="Tablanormal"/>
    <w:uiPriority w:val="49"/>
    <w:rsid w:val="00824ACD"/>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delista3-nfasis3">
    <w:name w:val="List Table 3 Accent 3"/>
    <w:basedOn w:val="Tablanormal"/>
    <w:uiPriority w:val="48"/>
    <w:rsid w:val="00824ACD"/>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aconcuadrcula5oscura-nfasis1">
    <w:name w:val="Grid Table 5 Dark Accent 1"/>
    <w:basedOn w:val="Tablanormal"/>
    <w:uiPriority w:val="50"/>
    <w:rsid w:val="00824AC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laconcuadrcula3-nfasis1">
    <w:name w:val="Grid Table 3 Accent 1"/>
    <w:basedOn w:val="Tablanormal"/>
    <w:uiPriority w:val="48"/>
    <w:rsid w:val="00824ACD"/>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laconcuadrcula2-nfasis3">
    <w:name w:val="Grid Table 2 Accent 3"/>
    <w:basedOn w:val="Tablanormal"/>
    <w:uiPriority w:val="47"/>
    <w:rsid w:val="00824ACD"/>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concuadrcula4-nfasis1">
    <w:name w:val="Grid Table 4 Accent 1"/>
    <w:basedOn w:val="Tablanormal"/>
    <w:uiPriority w:val="49"/>
    <w:rsid w:val="00824ACD"/>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aconcuadrcula7concolores-nfasis1">
    <w:name w:val="Grid Table 7 Colorful Accent 1"/>
    <w:basedOn w:val="Tablanormal"/>
    <w:uiPriority w:val="52"/>
    <w:rsid w:val="00824ACD"/>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ladelista4-nfasis1">
    <w:name w:val="List Table 4 Accent 1"/>
    <w:basedOn w:val="Tablanormal"/>
    <w:uiPriority w:val="49"/>
    <w:rsid w:val="00824ACD"/>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aconcuadrcula">
    <w:name w:val="Table Grid"/>
    <w:basedOn w:val="Tablanormal"/>
    <w:uiPriority w:val="39"/>
    <w:rsid w:val="00824A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ar1">
    <w:name w:val="Título 7 Car1"/>
    <w:basedOn w:val="Fuentedeprrafopredeter"/>
    <w:uiPriority w:val="9"/>
    <w:semiHidden/>
    <w:rsid w:val="00824ACD"/>
    <w:rPr>
      <w:rFonts w:asciiTheme="majorHAnsi" w:eastAsiaTheme="majorEastAsia" w:hAnsiTheme="majorHAnsi" w:cstheme="majorBidi"/>
      <w:i/>
      <w:iCs/>
      <w:color w:val="1F4D78" w:themeColor="accent1" w:themeShade="7F"/>
    </w:rPr>
  </w:style>
  <w:style w:type="character" w:customStyle="1" w:styleId="Ttulo8Car1">
    <w:name w:val="Título 8 Car1"/>
    <w:basedOn w:val="Fuentedeprrafopredeter"/>
    <w:uiPriority w:val="9"/>
    <w:semiHidden/>
    <w:rsid w:val="00824ACD"/>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uiPriority w:val="9"/>
    <w:semiHidden/>
    <w:rsid w:val="00824ACD"/>
    <w:rPr>
      <w:rFonts w:asciiTheme="majorHAnsi" w:eastAsiaTheme="majorEastAsia" w:hAnsiTheme="majorHAnsi" w:cstheme="majorBidi"/>
      <w:i/>
      <w:iCs/>
      <w:color w:val="272727" w:themeColor="text1" w:themeTint="D8"/>
      <w:sz w:val="21"/>
      <w:szCs w:val="21"/>
    </w:rPr>
  </w:style>
  <w:style w:type="character" w:styleId="Hipervnculovisitado">
    <w:name w:val="FollowedHyperlink"/>
    <w:basedOn w:val="Fuentedeprrafopredeter"/>
    <w:uiPriority w:val="99"/>
    <w:semiHidden/>
    <w:unhideWhenUsed/>
    <w:rsid w:val="00824ACD"/>
    <w:rPr>
      <w:color w:val="954F72" w:themeColor="followedHyperlink"/>
      <w:u w:val="single"/>
    </w:rPr>
  </w:style>
  <w:style w:type="table" w:styleId="Tablaconcuadrcula6concolores-nfasis1">
    <w:name w:val="Grid Table 6 Colorful Accent 1"/>
    <w:basedOn w:val="Tablanormal"/>
    <w:uiPriority w:val="51"/>
    <w:rsid w:val="00824ACD"/>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adelista2-nfasis3">
    <w:name w:val="List Table 2 Accent 3"/>
    <w:basedOn w:val="Tablanormal"/>
    <w:uiPriority w:val="47"/>
    <w:rsid w:val="00824ACD"/>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delista6concolores-nfasis3">
    <w:name w:val="List Table 6 Colorful Accent 3"/>
    <w:basedOn w:val="Tablanormal"/>
    <w:uiPriority w:val="51"/>
    <w:rsid w:val="00824ACD"/>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concuadrcula6concolores-nfasis5">
    <w:name w:val="Grid Table 6 Colorful Accent 5"/>
    <w:basedOn w:val="Tablanormal"/>
    <w:uiPriority w:val="51"/>
    <w:rsid w:val="00824ACD"/>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Sinlista2">
    <w:name w:val="Sin lista2"/>
    <w:next w:val="Sinlista"/>
    <w:uiPriority w:val="99"/>
    <w:semiHidden/>
    <w:unhideWhenUsed/>
    <w:rsid w:val="00824ACD"/>
  </w:style>
  <w:style w:type="table" w:customStyle="1" w:styleId="TableNormal4">
    <w:name w:val="Table Normal4"/>
    <w:rsid w:val="00824ACD"/>
    <w:pPr>
      <w:spacing w:after="0" w:line="276" w:lineRule="auto"/>
    </w:pPr>
    <w:rPr>
      <w:rFonts w:ascii="Arial" w:eastAsia="Arial" w:hAnsi="Arial" w:cs="Arial"/>
      <w:lang w:val="en-US" w:eastAsia="es-ES"/>
    </w:rPr>
    <w:tblPr>
      <w:tblCellMar>
        <w:top w:w="0" w:type="dxa"/>
        <w:left w:w="0" w:type="dxa"/>
        <w:bottom w:w="0" w:type="dxa"/>
        <w:right w:w="0" w:type="dxa"/>
      </w:tblCellMar>
    </w:tblPr>
  </w:style>
  <w:style w:type="table" w:customStyle="1" w:styleId="TableNormal5">
    <w:name w:val="Table Normal5"/>
    <w:rsid w:val="00824ACD"/>
    <w:pPr>
      <w:spacing w:after="0" w:line="276" w:lineRule="auto"/>
    </w:pPr>
    <w:rPr>
      <w:rFonts w:ascii="Arial" w:eastAsia="Arial" w:hAnsi="Arial" w:cs="Arial"/>
      <w:lang w:val="en-US" w:eastAsia="es-ES"/>
    </w:rPr>
    <w:tblPr>
      <w:tblCellMar>
        <w:top w:w="0" w:type="dxa"/>
        <w:left w:w="0" w:type="dxa"/>
        <w:bottom w:w="0" w:type="dxa"/>
        <w:right w:w="0" w:type="dxa"/>
      </w:tblCellMar>
    </w:tblPr>
  </w:style>
  <w:style w:type="table" w:customStyle="1" w:styleId="TableNormal6">
    <w:name w:val="Table Normal6"/>
    <w:rsid w:val="00824ACD"/>
    <w:pPr>
      <w:spacing w:after="0" w:line="276" w:lineRule="auto"/>
    </w:pPr>
    <w:rPr>
      <w:rFonts w:ascii="Arial" w:eastAsia="Arial" w:hAnsi="Arial" w:cs="Arial"/>
      <w:lang w:val="en-US" w:eastAsia="es-ES"/>
    </w:rPr>
    <w:tblPr>
      <w:tblCellMar>
        <w:top w:w="0" w:type="dxa"/>
        <w:left w:w="0" w:type="dxa"/>
        <w:bottom w:w="0" w:type="dxa"/>
        <w:right w:w="0" w:type="dxa"/>
      </w:tblCellMar>
    </w:tblPr>
  </w:style>
  <w:style w:type="table" w:customStyle="1" w:styleId="TableNormal7">
    <w:name w:val="Table Normal7"/>
    <w:rsid w:val="00824ACD"/>
    <w:pPr>
      <w:spacing w:after="0" w:line="276" w:lineRule="auto"/>
    </w:pPr>
    <w:rPr>
      <w:rFonts w:ascii="Arial" w:eastAsia="Arial" w:hAnsi="Arial" w:cs="Arial"/>
      <w:lang w:val="en-US" w:eastAsia="es-ES"/>
    </w:rPr>
    <w:tblPr>
      <w:tblCellMar>
        <w:top w:w="0" w:type="dxa"/>
        <w:left w:w="0" w:type="dxa"/>
        <w:bottom w:w="0" w:type="dxa"/>
        <w:right w:w="0" w:type="dxa"/>
      </w:tblCellMar>
    </w:tblPr>
  </w:style>
  <w:style w:type="paragraph" w:customStyle="1" w:styleId="TtuloTDC2">
    <w:name w:val="Título TDC2"/>
    <w:basedOn w:val="Ttulo1"/>
    <w:next w:val="Normal"/>
    <w:uiPriority w:val="39"/>
    <w:unhideWhenUsed/>
    <w:qFormat/>
    <w:rsid w:val="00824ACD"/>
    <w:pPr>
      <w:spacing w:before="240" w:after="0" w:line="259" w:lineRule="auto"/>
      <w:outlineLvl w:val="9"/>
    </w:pPr>
    <w:rPr>
      <w:rFonts w:ascii="Calibri" w:hAnsi="Calibri"/>
      <w:color w:val="365F91"/>
      <w:sz w:val="32"/>
      <w:szCs w:val="32"/>
      <w:lang w:val="es-ES"/>
    </w:rPr>
  </w:style>
  <w:style w:type="table" w:customStyle="1" w:styleId="Tabladecuadrcula1clara-nfasis32">
    <w:name w:val="Tabla de cuadrícula 1 clara - Énfasis 32"/>
    <w:basedOn w:val="Tablanormal"/>
    <w:next w:val="Tablaconcuadrcula1clara-nfasis3"/>
    <w:uiPriority w:val="46"/>
    <w:rsid w:val="00824ACD"/>
    <w:pPr>
      <w:spacing w:after="0" w:line="240" w:lineRule="auto"/>
    </w:pPr>
    <w:rPr>
      <w:rFonts w:ascii="Arial" w:eastAsia="Arial" w:hAnsi="Arial" w:cs="Arial"/>
      <w:lang w:val="en-US" w:eastAsia="es-ES"/>
    </w:r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Pr>
    <w:tblStylePr w:type="firstRow">
      <w:rPr>
        <w:b/>
        <w:bCs/>
      </w:rPr>
      <w:tblPr/>
      <w:tcPr>
        <w:tcBorders>
          <w:bottom w:val="single" w:sz="12" w:space="0" w:color="C2D69B"/>
        </w:tcBorders>
      </w:tcPr>
    </w:tblStylePr>
    <w:tblStylePr w:type="lastRow">
      <w:rPr>
        <w:b/>
        <w:bCs/>
      </w:rPr>
      <w:tblPr/>
      <w:tcPr>
        <w:tcBorders>
          <w:top w:val="double" w:sz="2" w:space="0" w:color="C2D69B"/>
        </w:tcBorders>
      </w:tcPr>
    </w:tblStylePr>
    <w:tblStylePr w:type="firstCol">
      <w:rPr>
        <w:b/>
        <w:bCs/>
      </w:rPr>
    </w:tblStylePr>
    <w:tblStylePr w:type="lastCol">
      <w:rPr>
        <w:b/>
        <w:bCs/>
      </w:rPr>
    </w:tblStylePr>
  </w:style>
  <w:style w:type="table" w:customStyle="1" w:styleId="Tabladecuadrcula5oscura-nfasis32">
    <w:name w:val="Tabla de cuadrícula 5 oscura - Énfasis 32"/>
    <w:basedOn w:val="Tablanormal"/>
    <w:next w:val="Tablaconcuadrcula5oscura-nfasis3"/>
    <w:uiPriority w:val="50"/>
    <w:rsid w:val="00824ACD"/>
    <w:pPr>
      <w:spacing w:after="0" w:line="240" w:lineRule="auto"/>
    </w:pPr>
    <w:rPr>
      <w:rFonts w:ascii="Arial" w:eastAsia="Arial" w:hAnsi="Arial" w:cs="Arial"/>
      <w:lang w:val="en-US" w:eastAsia="es-E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Tabladecuadrcula6concolores-nfasis32">
    <w:name w:val="Tabla de cuadrícula 6 con colores - Énfasis 32"/>
    <w:basedOn w:val="Tablanormal"/>
    <w:next w:val="Tablaconcuadrcula6concolores-nfasis3"/>
    <w:uiPriority w:val="51"/>
    <w:rsid w:val="00824ACD"/>
    <w:pPr>
      <w:spacing w:after="0" w:line="240" w:lineRule="auto"/>
    </w:pPr>
    <w:rPr>
      <w:rFonts w:ascii="Arial" w:eastAsia="Arial" w:hAnsi="Arial" w:cs="Arial"/>
      <w:color w:val="76923C"/>
      <w:lang w:val="en-US" w:eastAsia="es-E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rPr>
      <w:tblPr/>
      <w:tcPr>
        <w:tcBorders>
          <w:bottom w:val="single" w:sz="12" w:space="0" w:color="C2D69B"/>
        </w:tcBorders>
      </w:tcPr>
    </w:tblStylePr>
    <w:tblStylePr w:type="lastRow">
      <w:rPr>
        <w:b/>
        <w:bCs/>
      </w:rPr>
      <w:tblPr/>
      <w:tcPr>
        <w:tcBorders>
          <w:top w:val="doub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adecuadrcula7concolores-nfasis32">
    <w:name w:val="Tabla de cuadrícula 7 con colores - Énfasis 32"/>
    <w:basedOn w:val="Tablanormal"/>
    <w:next w:val="Tablaconcuadrcula7concolores-nfasis3"/>
    <w:uiPriority w:val="52"/>
    <w:rsid w:val="00824ACD"/>
    <w:pPr>
      <w:spacing w:after="0" w:line="240" w:lineRule="auto"/>
    </w:pPr>
    <w:rPr>
      <w:rFonts w:ascii="Arial" w:eastAsia="Arial" w:hAnsi="Arial" w:cs="Arial"/>
      <w:color w:val="76923C"/>
      <w:lang w:val="en-US" w:eastAsia="es-E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AF1DD"/>
      </w:tcPr>
    </w:tblStylePr>
    <w:tblStylePr w:type="band1Horz">
      <w:tblPr/>
      <w:tcPr>
        <w:shd w:val="clear" w:color="auto" w:fill="EAF1DD"/>
      </w:tcPr>
    </w:tblStylePr>
    <w:tblStylePr w:type="neCell">
      <w:tblPr/>
      <w:tcPr>
        <w:tcBorders>
          <w:bottom w:val="single" w:sz="4" w:space="0" w:color="C2D69B"/>
        </w:tcBorders>
      </w:tcPr>
    </w:tblStylePr>
    <w:tblStylePr w:type="nwCell">
      <w:tblPr/>
      <w:tcPr>
        <w:tcBorders>
          <w:bottom w:val="single" w:sz="4" w:space="0" w:color="C2D69B"/>
        </w:tcBorders>
      </w:tcPr>
    </w:tblStylePr>
    <w:tblStylePr w:type="seCell">
      <w:tblPr/>
      <w:tcPr>
        <w:tcBorders>
          <w:top w:val="single" w:sz="4" w:space="0" w:color="C2D69B"/>
        </w:tcBorders>
      </w:tcPr>
    </w:tblStylePr>
    <w:tblStylePr w:type="swCell">
      <w:tblPr/>
      <w:tcPr>
        <w:tcBorders>
          <w:top w:val="single" w:sz="4" w:space="0" w:color="C2D69B"/>
        </w:tcBorders>
      </w:tcPr>
    </w:tblStylePr>
  </w:style>
  <w:style w:type="table" w:customStyle="1" w:styleId="Tabladelista4-nfasis32">
    <w:name w:val="Tabla de lista 4 - Énfasis 32"/>
    <w:basedOn w:val="Tablanormal"/>
    <w:next w:val="Tabladelista4-nfasis3"/>
    <w:uiPriority w:val="49"/>
    <w:rsid w:val="00824ACD"/>
    <w:pPr>
      <w:spacing w:after="0" w:line="240" w:lineRule="auto"/>
    </w:pPr>
    <w:rPr>
      <w:rFonts w:ascii="Arial" w:eastAsia="Arial" w:hAnsi="Arial" w:cs="Arial"/>
      <w:lang w:val="en-US" w:eastAsia="es-E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tcBorders>
        <w:shd w:val="clear" w:color="auto" w:fill="9BBB59"/>
      </w:tcPr>
    </w:tblStylePr>
    <w:tblStylePr w:type="lastRow">
      <w:rPr>
        <w:b/>
        <w:bCs/>
      </w:rPr>
      <w:tblPr/>
      <w:tcPr>
        <w:tcBorders>
          <w:top w:val="doub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adecuadrcula3-nfasis32">
    <w:name w:val="Tabla de cuadrícula 3 - Énfasis 32"/>
    <w:basedOn w:val="Tablanormal"/>
    <w:next w:val="Tablaconcuadrcula3-nfasis3"/>
    <w:uiPriority w:val="48"/>
    <w:rsid w:val="00824ACD"/>
    <w:pPr>
      <w:spacing w:after="0" w:line="240" w:lineRule="auto"/>
    </w:pPr>
    <w:rPr>
      <w:rFonts w:ascii="Arial" w:eastAsia="Arial" w:hAnsi="Arial" w:cs="Arial"/>
      <w:lang w:val="en-US" w:eastAsia="es-E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AF1DD"/>
      </w:tcPr>
    </w:tblStylePr>
    <w:tblStylePr w:type="band1Horz">
      <w:tblPr/>
      <w:tcPr>
        <w:shd w:val="clear" w:color="auto" w:fill="EAF1DD"/>
      </w:tcPr>
    </w:tblStylePr>
    <w:tblStylePr w:type="neCell">
      <w:tblPr/>
      <w:tcPr>
        <w:tcBorders>
          <w:bottom w:val="single" w:sz="4" w:space="0" w:color="C2D69B"/>
        </w:tcBorders>
      </w:tcPr>
    </w:tblStylePr>
    <w:tblStylePr w:type="nwCell">
      <w:tblPr/>
      <w:tcPr>
        <w:tcBorders>
          <w:bottom w:val="single" w:sz="4" w:space="0" w:color="C2D69B"/>
        </w:tcBorders>
      </w:tcPr>
    </w:tblStylePr>
    <w:tblStylePr w:type="seCell">
      <w:tblPr/>
      <w:tcPr>
        <w:tcBorders>
          <w:top w:val="single" w:sz="4" w:space="0" w:color="C2D69B"/>
        </w:tcBorders>
      </w:tcPr>
    </w:tblStylePr>
    <w:tblStylePr w:type="swCell">
      <w:tblPr/>
      <w:tcPr>
        <w:tcBorders>
          <w:top w:val="single" w:sz="4" w:space="0" w:color="C2D69B"/>
        </w:tcBorders>
      </w:tcPr>
    </w:tblStylePr>
  </w:style>
  <w:style w:type="table" w:customStyle="1" w:styleId="Tabladecuadrcula4-nfasis32">
    <w:name w:val="Tabla de cuadrícula 4 - Énfasis 32"/>
    <w:basedOn w:val="Tablanormal"/>
    <w:next w:val="Tablaconcuadrcula4-nfasis3"/>
    <w:uiPriority w:val="49"/>
    <w:rsid w:val="00824ACD"/>
    <w:pPr>
      <w:spacing w:after="0" w:line="240" w:lineRule="auto"/>
    </w:pPr>
    <w:rPr>
      <w:rFonts w:ascii="Arial" w:eastAsia="Arial" w:hAnsi="Arial" w:cs="Arial"/>
      <w:lang w:val="en-US" w:eastAsia="es-E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adelista3-nfasis32">
    <w:name w:val="Tabla de lista 3 - Énfasis 32"/>
    <w:basedOn w:val="Tablanormal"/>
    <w:next w:val="Tabladelista3-nfasis3"/>
    <w:uiPriority w:val="48"/>
    <w:rsid w:val="00824ACD"/>
    <w:pPr>
      <w:spacing w:after="0" w:line="240" w:lineRule="auto"/>
    </w:pPr>
    <w:rPr>
      <w:rFonts w:ascii="Arial" w:eastAsia="Arial" w:hAnsi="Arial" w:cs="Arial"/>
      <w:lang w:val="en-US" w:eastAsia="es-ES"/>
    </w:rPr>
    <w:tblPr>
      <w:tblStyleRowBandSize w:val="1"/>
      <w:tblStyleColBandSize w:val="1"/>
      <w:tblBorders>
        <w:top w:val="single" w:sz="4" w:space="0" w:color="9BBB59"/>
        <w:left w:val="single" w:sz="4" w:space="0" w:color="9BBB59"/>
        <w:bottom w:val="single" w:sz="4" w:space="0" w:color="9BBB59"/>
        <w:right w:val="single" w:sz="4" w:space="0" w:color="9BBB59"/>
      </w:tblBorders>
    </w:tblPr>
    <w:tblStylePr w:type="firstRow">
      <w:rPr>
        <w:b/>
        <w:bCs/>
        <w:color w:val="FFFFFF"/>
      </w:rPr>
      <w:tblPr/>
      <w:tcPr>
        <w:shd w:val="clear" w:color="auto" w:fill="9BBB59"/>
      </w:tcPr>
    </w:tblStylePr>
    <w:tblStylePr w:type="lastRow">
      <w:rPr>
        <w:b/>
        <w:bCs/>
      </w:rPr>
      <w:tblPr/>
      <w:tcPr>
        <w:tcBorders>
          <w:top w:val="double" w:sz="4" w:space="0" w:color="9BBB5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9BBB59"/>
          <w:right w:val="single" w:sz="4" w:space="0" w:color="9BBB59"/>
        </w:tcBorders>
      </w:tcPr>
    </w:tblStylePr>
    <w:tblStylePr w:type="band1Horz">
      <w:tblPr/>
      <w:tcPr>
        <w:tcBorders>
          <w:top w:val="single" w:sz="4" w:space="0" w:color="9BBB59"/>
          <w:bottom w:val="single" w:sz="4" w:space="0" w:color="9BBB5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left w:val="nil"/>
        </w:tcBorders>
      </w:tcPr>
    </w:tblStylePr>
    <w:tblStylePr w:type="swCell">
      <w:tblPr/>
      <w:tcPr>
        <w:tcBorders>
          <w:top w:val="double" w:sz="4" w:space="0" w:color="9BBB59"/>
          <w:right w:val="nil"/>
        </w:tcBorders>
      </w:tcPr>
    </w:tblStylePr>
  </w:style>
  <w:style w:type="table" w:customStyle="1" w:styleId="Tabladecuadrcula5oscura-nfasis12">
    <w:name w:val="Tabla de cuadrícula 5 oscura - Énfasis 12"/>
    <w:basedOn w:val="Tablanormal"/>
    <w:next w:val="Tablaconcuadrcula5oscura-nfasis1"/>
    <w:uiPriority w:val="50"/>
    <w:rsid w:val="00824ACD"/>
    <w:pPr>
      <w:spacing w:after="0" w:line="240" w:lineRule="auto"/>
    </w:pPr>
    <w:rPr>
      <w:rFonts w:ascii="Arial" w:eastAsia="Arial" w:hAnsi="Arial" w:cs="Arial"/>
      <w:lang w:val="en-US" w:eastAsia="es-E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adecuadrcula3-nfasis12">
    <w:name w:val="Tabla de cuadrícula 3 - Énfasis 12"/>
    <w:basedOn w:val="Tablanormal"/>
    <w:next w:val="Tablaconcuadrcula3-nfasis1"/>
    <w:uiPriority w:val="48"/>
    <w:rsid w:val="00824ACD"/>
    <w:pPr>
      <w:spacing w:after="0" w:line="240" w:lineRule="auto"/>
    </w:pPr>
    <w:rPr>
      <w:rFonts w:ascii="Arial" w:eastAsia="Arial" w:hAnsi="Arial" w:cs="Arial"/>
      <w:lang w:val="en-US" w:eastAsia="es-E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table" w:customStyle="1" w:styleId="Tabladecuadrcula2-nfasis32">
    <w:name w:val="Tabla de cuadrícula 2 - Énfasis 32"/>
    <w:basedOn w:val="Tablanormal"/>
    <w:next w:val="Tablaconcuadrcula2-nfasis3"/>
    <w:uiPriority w:val="47"/>
    <w:rsid w:val="00824ACD"/>
    <w:pPr>
      <w:spacing w:after="0" w:line="240" w:lineRule="auto"/>
    </w:pPr>
    <w:rPr>
      <w:rFonts w:ascii="Arial" w:eastAsia="Arial" w:hAnsi="Arial" w:cs="Arial"/>
      <w:lang w:val="en-US" w:eastAsia="es-ES"/>
    </w:r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b/>
        <w:bCs/>
      </w:rPr>
      <w:tblPr/>
      <w:tcPr>
        <w:tcBorders>
          <w:top w:val="nil"/>
          <w:bottom w:val="single" w:sz="12" w:space="0" w:color="C2D69B"/>
          <w:insideH w:val="nil"/>
          <w:insideV w:val="nil"/>
        </w:tcBorders>
        <w:shd w:val="clear" w:color="auto" w:fill="FFFFFF"/>
      </w:tcPr>
    </w:tblStylePr>
    <w:tblStylePr w:type="lastRow">
      <w:rPr>
        <w:b/>
        <w:bCs/>
      </w:rPr>
      <w:tblPr/>
      <w:tcPr>
        <w:tcBorders>
          <w:top w:val="double" w:sz="2" w:space="0" w:color="C2D69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adecuadrcula4-nfasis12">
    <w:name w:val="Tabla de cuadrícula 4 - Énfasis 12"/>
    <w:basedOn w:val="Tablanormal"/>
    <w:next w:val="Tablaconcuadrcula4-nfasis1"/>
    <w:uiPriority w:val="49"/>
    <w:rsid w:val="00824ACD"/>
    <w:pPr>
      <w:spacing w:after="0" w:line="240" w:lineRule="auto"/>
    </w:pPr>
    <w:rPr>
      <w:rFonts w:ascii="Arial" w:eastAsia="Arial" w:hAnsi="Arial" w:cs="Arial"/>
      <w:lang w:val="en-US" w:eastAsia="es-E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adecuadrcula7concolores-nfasis12">
    <w:name w:val="Tabla de cuadrícula 7 con colores - Énfasis 12"/>
    <w:basedOn w:val="Tablanormal"/>
    <w:next w:val="Tablaconcuadrcula7concolores-nfasis1"/>
    <w:uiPriority w:val="52"/>
    <w:rsid w:val="00824ACD"/>
    <w:pPr>
      <w:spacing w:after="0" w:line="240" w:lineRule="auto"/>
    </w:pPr>
    <w:rPr>
      <w:rFonts w:ascii="Arial" w:eastAsia="Arial" w:hAnsi="Arial" w:cs="Arial"/>
      <w:color w:val="365F91"/>
      <w:lang w:val="en-US" w:eastAsia="es-E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table" w:customStyle="1" w:styleId="Tabladelista4-nfasis12">
    <w:name w:val="Tabla de lista 4 - Énfasis 12"/>
    <w:basedOn w:val="Tablanormal"/>
    <w:next w:val="Tabladelista4-nfasis1"/>
    <w:uiPriority w:val="49"/>
    <w:rsid w:val="00824ACD"/>
    <w:pPr>
      <w:spacing w:after="0" w:line="240" w:lineRule="auto"/>
    </w:pPr>
    <w:rPr>
      <w:rFonts w:ascii="Arial" w:eastAsia="Arial" w:hAnsi="Arial" w:cs="Arial"/>
      <w:lang w:val="en-US" w:eastAsia="es-E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aconcuadrcula2">
    <w:name w:val="Tabla con cuadrícula2"/>
    <w:basedOn w:val="Tablanormal"/>
    <w:next w:val="Tablaconcuadrcula"/>
    <w:uiPriority w:val="39"/>
    <w:rsid w:val="00824A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rsid w:val="00824ACD"/>
    <w:pPr>
      <w:spacing w:after="0" w:line="276" w:lineRule="auto"/>
    </w:pPr>
    <w:rPr>
      <w:rFonts w:ascii="Arial" w:eastAsia="Arial" w:hAnsi="Arial" w:cs="Arial"/>
      <w:lang w:val="en-US" w:eastAsia="es-ES"/>
    </w:rPr>
    <w:tblPr>
      <w:tblCellMar>
        <w:top w:w="0" w:type="dxa"/>
        <w:left w:w="0" w:type="dxa"/>
        <w:bottom w:w="0" w:type="dxa"/>
        <w:right w:w="0" w:type="dxa"/>
      </w:tblCellMar>
    </w:tblPr>
  </w:style>
  <w:style w:type="table" w:customStyle="1" w:styleId="TableNormal21">
    <w:name w:val="Table Normal21"/>
    <w:rsid w:val="00824ACD"/>
    <w:pPr>
      <w:spacing w:after="0" w:line="276" w:lineRule="auto"/>
    </w:pPr>
    <w:rPr>
      <w:rFonts w:ascii="Arial" w:eastAsia="Arial" w:hAnsi="Arial" w:cs="Arial"/>
      <w:lang w:val="en-US" w:eastAsia="es-ES"/>
    </w:rPr>
    <w:tblPr>
      <w:tblCellMar>
        <w:top w:w="0" w:type="dxa"/>
        <w:left w:w="0" w:type="dxa"/>
        <w:bottom w:w="0" w:type="dxa"/>
        <w:right w:w="0" w:type="dxa"/>
      </w:tblCellMar>
    </w:tblPr>
  </w:style>
  <w:style w:type="table" w:customStyle="1" w:styleId="TableNormal11">
    <w:name w:val="Table Normal11"/>
    <w:rsid w:val="00824ACD"/>
    <w:pPr>
      <w:spacing w:after="0" w:line="276" w:lineRule="auto"/>
    </w:pPr>
    <w:rPr>
      <w:rFonts w:ascii="Arial" w:eastAsia="Arial" w:hAnsi="Arial" w:cs="Arial"/>
      <w:lang w:val="en-US" w:eastAsia="es-ES"/>
    </w:rPr>
    <w:tblPr>
      <w:tblCellMar>
        <w:top w:w="0" w:type="dxa"/>
        <w:left w:w="0" w:type="dxa"/>
        <w:bottom w:w="0" w:type="dxa"/>
        <w:right w:w="0" w:type="dxa"/>
      </w:tblCellMar>
    </w:tblPr>
  </w:style>
  <w:style w:type="table" w:customStyle="1" w:styleId="511">
    <w:name w:val="511"/>
    <w:basedOn w:val="TableNormal1"/>
    <w:rsid w:val="00824ACD"/>
    <w:pPr>
      <w:spacing w:line="240" w:lineRule="auto"/>
    </w:pPr>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501">
    <w:name w:val="501"/>
    <w:basedOn w:val="TableNormal1"/>
    <w:rsid w:val="00824ACD"/>
    <w:pPr>
      <w:spacing w:line="240" w:lineRule="auto"/>
    </w:pPr>
    <w:rPr>
      <w:rFonts w:ascii="Calibri" w:eastAsia="Calibri" w:hAnsi="Calibri" w:cs="Calibri"/>
      <w:sz w:val="20"/>
      <w:szCs w:val="20"/>
    </w:rPr>
    <w:tblPr>
      <w:tblStyleRowBandSize w:val="1"/>
      <w:tblStyleColBandSize w:val="1"/>
      <w:tblCellMar>
        <w:left w:w="108" w:type="dxa"/>
        <w:right w:w="108"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491">
    <w:name w:val="491"/>
    <w:basedOn w:val="TableNormal1"/>
    <w:rsid w:val="00824ACD"/>
    <w:tblPr>
      <w:tblStyleRowBandSize w:val="1"/>
      <w:tblStyleColBandSize w:val="1"/>
      <w:tblCellMar>
        <w:left w:w="70" w:type="dxa"/>
        <w:right w:w="70" w:type="dxa"/>
      </w:tblCellMar>
    </w:tblPr>
  </w:style>
  <w:style w:type="table" w:customStyle="1" w:styleId="481">
    <w:name w:val="481"/>
    <w:basedOn w:val="TableNormal1"/>
    <w:rsid w:val="00824ACD"/>
    <w:tblPr>
      <w:tblStyleRowBandSize w:val="1"/>
      <w:tblStyleColBandSize w:val="1"/>
      <w:tblCellMar>
        <w:left w:w="70" w:type="dxa"/>
        <w:right w:w="70" w:type="dxa"/>
      </w:tblCellMar>
    </w:tblPr>
  </w:style>
  <w:style w:type="table" w:customStyle="1" w:styleId="471">
    <w:name w:val="471"/>
    <w:basedOn w:val="TableNormal1"/>
    <w:rsid w:val="00824ACD"/>
    <w:pPr>
      <w:spacing w:line="240" w:lineRule="auto"/>
    </w:pPr>
    <w:rPr>
      <w:rFonts w:ascii="Calibri" w:eastAsia="Calibri" w:hAnsi="Calibri" w:cs="Calibri"/>
      <w:sz w:val="20"/>
      <w:szCs w:val="20"/>
    </w:rPr>
    <w:tblPr>
      <w:tblStyleRowBandSize w:val="1"/>
      <w:tblStyleColBandSize w:val="1"/>
      <w:tblCellMar>
        <w:left w:w="70" w:type="dxa"/>
        <w:right w:w="70" w:type="dxa"/>
      </w:tblCellMar>
    </w:tblPr>
  </w:style>
  <w:style w:type="table" w:customStyle="1" w:styleId="461">
    <w:name w:val="461"/>
    <w:basedOn w:val="TableNormal1"/>
    <w:rsid w:val="00824ACD"/>
    <w:tblPr>
      <w:tblStyleRowBandSize w:val="1"/>
      <w:tblStyleColBandSize w:val="1"/>
      <w:tblCellMar>
        <w:left w:w="70" w:type="dxa"/>
        <w:right w:w="70" w:type="dxa"/>
      </w:tblCellMar>
    </w:tblPr>
  </w:style>
  <w:style w:type="table" w:customStyle="1" w:styleId="451">
    <w:name w:val="451"/>
    <w:basedOn w:val="TableNormal1"/>
    <w:rsid w:val="00824ACD"/>
    <w:tblPr>
      <w:tblStyleRowBandSize w:val="1"/>
      <w:tblStyleColBandSize w:val="1"/>
      <w:tblCellMar>
        <w:left w:w="70" w:type="dxa"/>
        <w:right w:w="70" w:type="dxa"/>
      </w:tblCellMar>
    </w:tblPr>
  </w:style>
  <w:style w:type="table" w:customStyle="1" w:styleId="441">
    <w:name w:val="441"/>
    <w:basedOn w:val="TableNormal1"/>
    <w:rsid w:val="00824ACD"/>
    <w:pPr>
      <w:spacing w:line="240" w:lineRule="auto"/>
    </w:pPr>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431">
    <w:name w:val="431"/>
    <w:basedOn w:val="TableNormal1"/>
    <w:rsid w:val="00824ACD"/>
    <w:pPr>
      <w:spacing w:line="240" w:lineRule="auto"/>
    </w:pPr>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421">
    <w:name w:val="421"/>
    <w:basedOn w:val="TableNormal1"/>
    <w:rsid w:val="00824ACD"/>
    <w:pPr>
      <w:spacing w:line="240" w:lineRule="auto"/>
    </w:pPr>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411">
    <w:name w:val="411"/>
    <w:basedOn w:val="TableNormal1"/>
    <w:rsid w:val="00824ACD"/>
    <w:pPr>
      <w:spacing w:line="240" w:lineRule="auto"/>
    </w:pPr>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401">
    <w:name w:val="401"/>
    <w:basedOn w:val="TableNormal1"/>
    <w:rsid w:val="00824ACD"/>
    <w:pPr>
      <w:spacing w:line="240" w:lineRule="auto"/>
    </w:pPr>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391">
    <w:name w:val="391"/>
    <w:basedOn w:val="TableNormal1"/>
    <w:rsid w:val="00824ACD"/>
    <w:tblPr>
      <w:tblStyleRowBandSize w:val="1"/>
      <w:tblStyleColBandSize w:val="1"/>
      <w:tblCellMar>
        <w:left w:w="115" w:type="dxa"/>
        <w:right w:w="115" w:type="dxa"/>
      </w:tblCellMar>
    </w:tblPr>
  </w:style>
  <w:style w:type="table" w:customStyle="1" w:styleId="381">
    <w:name w:val="38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371">
    <w:name w:val="37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361">
    <w:name w:val="36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351">
    <w:name w:val="35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341">
    <w:name w:val="34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331">
    <w:name w:val="33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321">
    <w:name w:val="32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311">
    <w:name w:val="31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301">
    <w:name w:val="30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291">
    <w:name w:val="29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281">
    <w:name w:val="28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271">
    <w:name w:val="27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261">
    <w:name w:val="26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251">
    <w:name w:val="25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241">
    <w:name w:val="24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231">
    <w:name w:val="23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221">
    <w:name w:val="22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211">
    <w:name w:val="21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201">
    <w:name w:val="20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91">
    <w:name w:val="19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81">
    <w:name w:val="18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71">
    <w:name w:val="17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61">
    <w:name w:val="16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51">
    <w:name w:val="15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41">
    <w:name w:val="14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31">
    <w:name w:val="131"/>
    <w:basedOn w:val="TableNormal1"/>
    <w:rsid w:val="00824ACD"/>
    <w:pPr>
      <w:spacing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21">
    <w:name w:val="121"/>
    <w:basedOn w:val="TableNormal1"/>
    <w:rsid w:val="00824ACD"/>
    <w:pPr>
      <w:spacing w:line="240" w:lineRule="auto"/>
    </w:pPr>
    <w:rPr>
      <w:rFonts w:ascii="Calibri" w:eastAsia="Calibri" w:hAnsi="Calibri" w:cs="Calibri"/>
      <w:sz w:val="20"/>
      <w:szCs w:val="20"/>
    </w:rPr>
    <w:tblPr>
      <w:tblStyleRowBandSize w:val="1"/>
      <w:tblStyleColBandSize w:val="1"/>
      <w:tblCellMar>
        <w:left w:w="108" w:type="dxa"/>
        <w:right w:w="108"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111">
    <w:name w:val="111"/>
    <w:basedOn w:val="TableNormal1"/>
    <w:rsid w:val="00824ACD"/>
    <w:pPr>
      <w:spacing w:line="240" w:lineRule="auto"/>
    </w:pPr>
    <w:rPr>
      <w:rFonts w:ascii="Calibri" w:eastAsia="Calibri" w:hAnsi="Calibri" w:cs="Calibri"/>
      <w:sz w:val="20"/>
      <w:szCs w:val="20"/>
    </w:rPr>
    <w:tblPr>
      <w:tblStyleRowBandSize w:val="1"/>
      <w:tblStyleColBandSize w:val="1"/>
      <w:tblCellMar>
        <w:left w:w="108" w:type="dxa"/>
        <w:right w:w="108"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101">
    <w:name w:val="101"/>
    <w:basedOn w:val="TableNormal1"/>
    <w:rsid w:val="00824ACD"/>
    <w:pPr>
      <w:spacing w:line="240" w:lineRule="auto"/>
    </w:pPr>
    <w:rPr>
      <w:rFonts w:ascii="Calibri" w:eastAsia="Calibri" w:hAnsi="Calibri" w:cs="Calibri"/>
      <w:sz w:val="20"/>
      <w:szCs w:val="20"/>
    </w:rPr>
    <w:tblPr>
      <w:tblStyleRowBandSize w:val="1"/>
      <w:tblStyleColBandSize w:val="1"/>
      <w:tblCellMar>
        <w:left w:w="108" w:type="dxa"/>
        <w:right w:w="108"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91">
    <w:name w:val="91"/>
    <w:basedOn w:val="TableNormal1"/>
    <w:rsid w:val="00824ACD"/>
    <w:pPr>
      <w:spacing w:line="240" w:lineRule="auto"/>
    </w:pPr>
    <w:rPr>
      <w:rFonts w:ascii="Calibri" w:eastAsia="Calibri" w:hAnsi="Calibri" w:cs="Calibri"/>
      <w:sz w:val="20"/>
      <w:szCs w:val="20"/>
    </w:rPr>
    <w:tblPr>
      <w:tblStyleRowBandSize w:val="1"/>
      <w:tblStyleColBandSize w:val="1"/>
      <w:tblCellMar>
        <w:left w:w="108" w:type="dxa"/>
        <w:right w:w="108"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81">
    <w:name w:val="81"/>
    <w:basedOn w:val="TableNormal1"/>
    <w:rsid w:val="00824ACD"/>
    <w:tblPr>
      <w:tblStyleRowBandSize w:val="1"/>
      <w:tblStyleColBandSize w:val="1"/>
      <w:tblCellMar>
        <w:left w:w="70" w:type="dxa"/>
        <w:right w:w="70" w:type="dxa"/>
      </w:tblCellMar>
    </w:tblPr>
  </w:style>
  <w:style w:type="table" w:customStyle="1" w:styleId="71">
    <w:name w:val="71"/>
    <w:basedOn w:val="TableNormal1"/>
    <w:rsid w:val="00824ACD"/>
    <w:tblPr>
      <w:tblStyleRowBandSize w:val="1"/>
      <w:tblStyleColBandSize w:val="1"/>
      <w:tblCellMar>
        <w:left w:w="70" w:type="dxa"/>
        <w:right w:w="70" w:type="dxa"/>
      </w:tblCellMar>
    </w:tblPr>
  </w:style>
  <w:style w:type="table" w:customStyle="1" w:styleId="61">
    <w:name w:val="61"/>
    <w:basedOn w:val="TableNormal1"/>
    <w:rsid w:val="00824ACD"/>
    <w:tblPr>
      <w:tblStyleRowBandSize w:val="1"/>
      <w:tblStyleColBandSize w:val="1"/>
      <w:tblCellMar>
        <w:left w:w="70" w:type="dxa"/>
        <w:right w:w="70" w:type="dxa"/>
      </w:tblCellMar>
    </w:tblPr>
  </w:style>
  <w:style w:type="table" w:customStyle="1" w:styleId="52">
    <w:name w:val="52"/>
    <w:basedOn w:val="TableNormal1"/>
    <w:rsid w:val="00824ACD"/>
    <w:tblPr>
      <w:tblStyleRowBandSize w:val="1"/>
      <w:tblStyleColBandSize w:val="1"/>
      <w:tblCellMar>
        <w:left w:w="70" w:type="dxa"/>
        <w:right w:w="70" w:type="dxa"/>
      </w:tblCellMar>
    </w:tblPr>
  </w:style>
  <w:style w:type="table" w:customStyle="1" w:styleId="410">
    <w:name w:val="410"/>
    <w:basedOn w:val="TableNormal1"/>
    <w:rsid w:val="00824ACD"/>
    <w:tblPr>
      <w:tblStyleRowBandSize w:val="1"/>
      <w:tblStyleColBandSize w:val="1"/>
      <w:tblCellMar>
        <w:left w:w="70" w:type="dxa"/>
        <w:right w:w="70" w:type="dxa"/>
      </w:tblCellMar>
    </w:tblPr>
  </w:style>
  <w:style w:type="table" w:customStyle="1" w:styleId="310">
    <w:name w:val="310"/>
    <w:basedOn w:val="TableNormal1"/>
    <w:rsid w:val="00824ACD"/>
    <w:tblPr>
      <w:tblStyleRowBandSize w:val="1"/>
      <w:tblStyleColBandSize w:val="1"/>
      <w:tblCellMar>
        <w:left w:w="70" w:type="dxa"/>
        <w:right w:w="70" w:type="dxa"/>
      </w:tblCellMar>
    </w:tblPr>
  </w:style>
  <w:style w:type="table" w:customStyle="1" w:styleId="210">
    <w:name w:val="210"/>
    <w:basedOn w:val="TableNormal1"/>
    <w:rsid w:val="00824ACD"/>
    <w:tblPr>
      <w:tblStyleRowBandSize w:val="1"/>
      <w:tblStyleColBandSize w:val="1"/>
      <w:tblCellMar>
        <w:left w:w="70" w:type="dxa"/>
        <w:right w:w="70" w:type="dxa"/>
      </w:tblCellMar>
    </w:tblPr>
  </w:style>
  <w:style w:type="table" w:customStyle="1" w:styleId="110">
    <w:name w:val="110"/>
    <w:basedOn w:val="TableNormal1"/>
    <w:rsid w:val="00824ACD"/>
    <w:tblPr>
      <w:tblStyleRowBandSize w:val="1"/>
      <w:tblStyleColBandSize w:val="1"/>
      <w:tblCellMar>
        <w:left w:w="70" w:type="dxa"/>
        <w:right w:w="70" w:type="dxa"/>
      </w:tblCellMar>
    </w:tblPr>
  </w:style>
  <w:style w:type="paragraph" w:customStyle="1" w:styleId="TDC52">
    <w:name w:val="TDC 52"/>
    <w:basedOn w:val="Normal"/>
    <w:next w:val="Normal"/>
    <w:autoRedefine/>
    <w:uiPriority w:val="39"/>
    <w:unhideWhenUsed/>
    <w:rsid w:val="00824ACD"/>
    <w:pPr>
      <w:spacing w:after="100" w:line="240" w:lineRule="auto"/>
      <w:ind w:left="960"/>
    </w:pPr>
    <w:rPr>
      <w:rFonts w:eastAsia="Times New Roman"/>
      <w:kern w:val="2"/>
      <w:sz w:val="24"/>
      <w:szCs w:val="24"/>
      <w:lang w:eastAsia="es-MX"/>
      <w14:ligatures w14:val="standardContextual"/>
    </w:rPr>
  </w:style>
  <w:style w:type="paragraph" w:customStyle="1" w:styleId="TDC62">
    <w:name w:val="TDC 62"/>
    <w:basedOn w:val="Normal"/>
    <w:next w:val="Normal"/>
    <w:autoRedefine/>
    <w:uiPriority w:val="39"/>
    <w:unhideWhenUsed/>
    <w:rsid w:val="00824ACD"/>
    <w:pPr>
      <w:spacing w:after="100" w:line="240" w:lineRule="auto"/>
      <w:ind w:left="1200"/>
    </w:pPr>
    <w:rPr>
      <w:rFonts w:eastAsia="Times New Roman"/>
      <w:kern w:val="2"/>
      <w:sz w:val="24"/>
      <w:szCs w:val="24"/>
      <w:lang w:eastAsia="es-MX"/>
      <w14:ligatures w14:val="standardContextual"/>
    </w:rPr>
  </w:style>
  <w:style w:type="paragraph" w:customStyle="1" w:styleId="TDC72">
    <w:name w:val="TDC 72"/>
    <w:basedOn w:val="Normal"/>
    <w:next w:val="Normal"/>
    <w:autoRedefine/>
    <w:uiPriority w:val="39"/>
    <w:unhideWhenUsed/>
    <w:rsid w:val="00824ACD"/>
    <w:pPr>
      <w:spacing w:after="100" w:line="240" w:lineRule="auto"/>
      <w:ind w:left="1440"/>
    </w:pPr>
    <w:rPr>
      <w:rFonts w:eastAsia="Times New Roman"/>
      <w:kern w:val="2"/>
      <w:sz w:val="24"/>
      <w:szCs w:val="24"/>
      <w:lang w:eastAsia="es-MX"/>
      <w14:ligatures w14:val="standardContextual"/>
    </w:rPr>
  </w:style>
  <w:style w:type="paragraph" w:customStyle="1" w:styleId="TDC82">
    <w:name w:val="TDC 82"/>
    <w:basedOn w:val="Normal"/>
    <w:next w:val="Normal"/>
    <w:autoRedefine/>
    <w:uiPriority w:val="39"/>
    <w:unhideWhenUsed/>
    <w:rsid w:val="00824ACD"/>
    <w:pPr>
      <w:spacing w:after="100" w:line="240" w:lineRule="auto"/>
      <w:ind w:left="1680"/>
    </w:pPr>
    <w:rPr>
      <w:rFonts w:eastAsia="Times New Roman"/>
      <w:kern w:val="2"/>
      <w:sz w:val="24"/>
      <w:szCs w:val="24"/>
      <w:lang w:eastAsia="es-MX"/>
      <w14:ligatures w14:val="standardContextual"/>
    </w:rPr>
  </w:style>
  <w:style w:type="paragraph" w:customStyle="1" w:styleId="TDC92">
    <w:name w:val="TDC 92"/>
    <w:basedOn w:val="Normal"/>
    <w:next w:val="Normal"/>
    <w:autoRedefine/>
    <w:uiPriority w:val="39"/>
    <w:unhideWhenUsed/>
    <w:rsid w:val="00824ACD"/>
    <w:pPr>
      <w:spacing w:after="100" w:line="240" w:lineRule="auto"/>
      <w:ind w:left="1920"/>
    </w:pPr>
    <w:rPr>
      <w:rFonts w:eastAsia="Times New Roman"/>
      <w:kern w:val="2"/>
      <w:sz w:val="24"/>
      <w:szCs w:val="24"/>
      <w:lang w:eastAsia="es-MX"/>
      <w14:ligatures w14:val="standardContextual"/>
    </w:rPr>
  </w:style>
  <w:style w:type="table" w:customStyle="1" w:styleId="Tabladecuadrcula6concolores-nfasis12">
    <w:name w:val="Tabla de cuadrícula 6 con colores - Énfasis 12"/>
    <w:basedOn w:val="Tablanormal"/>
    <w:next w:val="Tablaconcuadrcula6concolores-nfasis1"/>
    <w:uiPriority w:val="51"/>
    <w:rsid w:val="00824ACD"/>
    <w:pPr>
      <w:spacing w:after="0" w:line="240" w:lineRule="auto"/>
    </w:pPr>
    <w:rPr>
      <w:rFonts w:ascii="Arial" w:eastAsia="Arial" w:hAnsi="Arial" w:cs="Arial"/>
      <w:color w:val="365F91"/>
      <w:lang w:val="en-US" w:eastAsia="es-E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adelista2-nfasis32">
    <w:name w:val="Tabla de lista 2 - Énfasis 32"/>
    <w:basedOn w:val="Tablanormal"/>
    <w:next w:val="Tabladelista2-nfasis3"/>
    <w:uiPriority w:val="47"/>
    <w:rsid w:val="00824ACD"/>
    <w:pPr>
      <w:spacing w:after="0" w:line="240" w:lineRule="auto"/>
    </w:pPr>
    <w:rPr>
      <w:rFonts w:ascii="Arial" w:eastAsia="Arial" w:hAnsi="Arial" w:cs="Arial"/>
      <w:lang w:val="en-US" w:eastAsia="es-ES"/>
    </w:rPr>
    <w:tblPr>
      <w:tblStyleRowBandSize w:val="1"/>
      <w:tblStyleColBandSize w:val="1"/>
      <w:tblBorders>
        <w:top w:val="single" w:sz="4" w:space="0" w:color="C2D69B"/>
        <w:bottom w:val="single" w:sz="4" w:space="0" w:color="C2D69B"/>
        <w:insideH w:val="single" w:sz="4" w:space="0" w:color="C2D69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adelista6concolores-nfasis32">
    <w:name w:val="Tabla de lista 6 con colores - Énfasis 32"/>
    <w:basedOn w:val="Tablanormal"/>
    <w:next w:val="Tabladelista6concolores-nfasis3"/>
    <w:uiPriority w:val="51"/>
    <w:rsid w:val="00824ACD"/>
    <w:pPr>
      <w:spacing w:after="0" w:line="240" w:lineRule="auto"/>
    </w:pPr>
    <w:rPr>
      <w:rFonts w:ascii="Arial" w:eastAsia="Arial" w:hAnsi="Arial" w:cs="Arial"/>
      <w:color w:val="76923C"/>
      <w:lang w:val="en-US" w:eastAsia="es-ES"/>
    </w:rPr>
    <w:tblPr>
      <w:tblStyleRowBandSize w:val="1"/>
      <w:tblStyleColBandSize w:val="1"/>
      <w:tblBorders>
        <w:top w:val="single" w:sz="4" w:space="0" w:color="9BBB59"/>
        <w:bottom w:val="single" w:sz="4" w:space="0" w:color="9BBB59"/>
      </w:tblBorders>
    </w:tblPr>
    <w:tblStylePr w:type="firstRow">
      <w:rPr>
        <w:b/>
        <w:bCs/>
      </w:rPr>
      <w:tblPr/>
      <w:tcPr>
        <w:tcBorders>
          <w:bottom w:val="single" w:sz="4" w:space="0" w:color="9BBB59"/>
        </w:tcBorders>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adecuadrcula6concolores-nfasis52">
    <w:name w:val="Tabla de cuadrícula 6 con colores - Énfasis 52"/>
    <w:basedOn w:val="Tablanormal"/>
    <w:next w:val="Tablaconcuadrcula6concolores-nfasis5"/>
    <w:uiPriority w:val="51"/>
    <w:rsid w:val="00824ACD"/>
    <w:pPr>
      <w:spacing w:after="0" w:line="240" w:lineRule="auto"/>
    </w:pPr>
    <w:rPr>
      <w:rFonts w:ascii="Arial" w:eastAsia="Arial" w:hAnsi="Arial" w:cs="Arial"/>
      <w:color w:val="31849B"/>
      <w:lang w:val="en-US" w:eastAsia="es-E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bottom w:val="single" w:sz="12" w:space="0" w:color="92CDDC"/>
        </w:tcBorders>
      </w:tcPr>
    </w:tblStylePr>
    <w:tblStylePr w:type="lastRow">
      <w:rPr>
        <w:b/>
        <w:bCs/>
      </w:rPr>
      <w:tblPr/>
      <w:tcPr>
        <w:tcBorders>
          <w:top w:val="doub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82096">
      <w:bodyDiv w:val="1"/>
      <w:marLeft w:val="0"/>
      <w:marRight w:val="0"/>
      <w:marTop w:val="0"/>
      <w:marBottom w:val="0"/>
      <w:divBdr>
        <w:top w:val="none" w:sz="0" w:space="0" w:color="auto"/>
        <w:left w:val="none" w:sz="0" w:space="0" w:color="auto"/>
        <w:bottom w:val="none" w:sz="0" w:space="0" w:color="auto"/>
        <w:right w:val="none" w:sz="0" w:space="0" w:color="auto"/>
      </w:divBdr>
    </w:div>
    <w:div w:id="70393726">
      <w:bodyDiv w:val="1"/>
      <w:marLeft w:val="0"/>
      <w:marRight w:val="0"/>
      <w:marTop w:val="0"/>
      <w:marBottom w:val="0"/>
      <w:divBdr>
        <w:top w:val="none" w:sz="0" w:space="0" w:color="auto"/>
        <w:left w:val="none" w:sz="0" w:space="0" w:color="auto"/>
        <w:bottom w:val="none" w:sz="0" w:space="0" w:color="auto"/>
        <w:right w:val="none" w:sz="0" w:space="0" w:color="auto"/>
      </w:divBdr>
    </w:div>
    <w:div w:id="115880705">
      <w:bodyDiv w:val="1"/>
      <w:marLeft w:val="0"/>
      <w:marRight w:val="0"/>
      <w:marTop w:val="0"/>
      <w:marBottom w:val="0"/>
      <w:divBdr>
        <w:top w:val="none" w:sz="0" w:space="0" w:color="auto"/>
        <w:left w:val="none" w:sz="0" w:space="0" w:color="auto"/>
        <w:bottom w:val="none" w:sz="0" w:space="0" w:color="auto"/>
        <w:right w:val="none" w:sz="0" w:space="0" w:color="auto"/>
      </w:divBdr>
      <w:divsChild>
        <w:div w:id="1195801648">
          <w:marLeft w:val="274"/>
          <w:marRight w:val="0"/>
          <w:marTop w:val="40"/>
          <w:marBottom w:val="0"/>
          <w:divBdr>
            <w:top w:val="none" w:sz="0" w:space="0" w:color="auto"/>
            <w:left w:val="none" w:sz="0" w:space="0" w:color="auto"/>
            <w:bottom w:val="none" w:sz="0" w:space="0" w:color="auto"/>
            <w:right w:val="none" w:sz="0" w:space="0" w:color="auto"/>
          </w:divBdr>
        </w:div>
        <w:div w:id="1574505266">
          <w:marLeft w:val="274"/>
          <w:marRight w:val="0"/>
          <w:marTop w:val="40"/>
          <w:marBottom w:val="0"/>
          <w:divBdr>
            <w:top w:val="none" w:sz="0" w:space="0" w:color="auto"/>
            <w:left w:val="none" w:sz="0" w:space="0" w:color="auto"/>
            <w:bottom w:val="none" w:sz="0" w:space="0" w:color="auto"/>
            <w:right w:val="none" w:sz="0" w:space="0" w:color="auto"/>
          </w:divBdr>
        </w:div>
        <w:div w:id="2092895465">
          <w:marLeft w:val="274"/>
          <w:marRight w:val="0"/>
          <w:marTop w:val="40"/>
          <w:marBottom w:val="0"/>
          <w:divBdr>
            <w:top w:val="none" w:sz="0" w:space="0" w:color="auto"/>
            <w:left w:val="none" w:sz="0" w:space="0" w:color="auto"/>
            <w:bottom w:val="none" w:sz="0" w:space="0" w:color="auto"/>
            <w:right w:val="none" w:sz="0" w:space="0" w:color="auto"/>
          </w:divBdr>
        </w:div>
        <w:div w:id="169416913">
          <w:marLeft w:val="274"/>
          <w:marRight w:val="0"/>
          <w:marTop w:val="40"/>
          <w:marBottom w:val="0"/>
          <w:divBdr>
            <w:top w:val="none" w:sz="0" w:space="0" w:color="auto"/>
            <w:left w:val="none" w:sz="0" w:space="0" w:color="auto"/>
            <w:bottom w:val="none" w:sz="0" w:space="0" w:color="auto"/>
            <w:right w:val="none" w:sz="0" w:space="0" w:color="auto"/>
          </w:divBdr>
        </w:div>
      </w:divsChild>
    </w:div>
    <w:div w:id="282008071">
      <w:bodyDiv w:val="1"/>
      <w:marLeft w:val="0"/>
      <w:marRight w:val="0"/>
      <w:marTop w:val="0"/>
      <w:marBottom w:val="0"/>
      <w:divBdr>
        <w:top w:val="none" w:sz="0" w:space="0" w:color="auto"/>
        <w:left w:val="none" w:sz="0" w:space="0" w:color="auto"/>
        <w:bottom w:val="none" w:sz="0" w:space="0" w:color="auto"/>
        <w:right w:val="none" w:sz="0" w:space="0" w:color="auto"/>
      </w:divBdr>
    </w:div>
    <w:div w:id="611278416">
      <w:bodyDiv w:val="1"/>
      <w:marLeft w:val="0"/>
      <w:marRight w:val="0"/>
      <w:marTop w:val="0"/>
      <w:marBottom w:val="0"/>
      <w:divBdr>
        <w:top w:val="none" w:sz="0" w:space="0" w:color="auto"/>
        <w:left w:val="none" w:sz="0" w:space="0" w:color="auto"/>
        <w:bottom w:val="none" w:sz="0" w:space="0" w:color="auto"/>
        <w:right w:val="none" w:sz="0" w:space="0" w:color="auto"/>
      </w:divBdr>
    </w:div>
    <w:div w:id="642932124">
      <w:bodyDiv w:val="1"/>
      <w:marLeft w:val="0"/>
      <w:marRight w:val="0"/>
      <w:marTop w:val="0"/>
      <w:marBottom w:val="0"/>
      <w:divBdr>
        <w:top w:val="none" w:sz="0" w:space="0" w:color="auto"/>
        <w:left w:val="none" w:sz="0" w:space="0" w:color="auto"/>
        <w:bottom w:val="none" w:sz="0" w:space="0" w:color="auto"/>
        <w:right w:val="none" w:sz="0" w:space="0" w:color="auto"/>
      </w:divBdr>
      <w:divsChild>
        <w:div w:id="1191143864">
          <w:marLeft w:val="274"/>
          <w:marRight w:val="0"/>
          <w:marTop w:val="40"/>
          <w:marBottom w:val="0"/>
          <w:divBdr>
            <w:top w:val="none" w:sz="0" w:space="0" w:color="auto"/>
            <w:left w:val="none" w:sz="0" w:space="0" w:color="auto"/>
            <w:bottom w:val="none" w:sz="0" w:space="0" w:color="auto"/>
            <w:right w:val="none" w:sz="0" w:space="0" w:color="auto"/>
          </w:divBdr>
        </w:div>
        <w:div w:id="1087271116">
          <w:marLeft w:val="274"/>
          <w:marRight w:val="0"/>
          <w:marTop w:val="40"/>
          <w:marBottom w:val="0"/>
          <w:divBdr>
            <w:top w:val="none" w:sz="0" w:space="0" w:color="auto"/>
            <w:left w:val="none" w:sz="0" w:space="0" w:color="auto"/>
            <w:bottom w:val="none" w:sz="0" w:space="0" w:color="auto"/>
            <w:right w:val="none" w:sz="0" w:space="0" w:color="auto"/>
          </w:divBdr>
        </w:div>
        <w:div w:id="101192198">
          <w:marLeft w:val="274"/>
          <w:marRight w:val="0"/>
          <w:marTop w:val="40"/>
          <w:marBottom w:val="0"/>
          <w:divBdr>
            <w:top w:val="none" w:sz="0" w:space="0" w:color="auto"/>
            <w:left w:val="none" w:sz="0" w:space="0" w:color="auto"/>
            <w:bottom w:val="none" w:sz="0" w:space="0" w:color="auto"/>
            <w:right w:val="none" w:sz="0" w:space="0" w:color="auto"/>
          </w:divBdr>
        </w:div>
        <w:div w:id="705106169">
          <w:marLeft w:val="274"/>
          <w:marRight w:val="0"/>
          <w:marTop w:val="40"/>
          <w:marBottom w:val="0"/>
          <w:divBdr>
            <w:top w:val="none" w:sz="0" w:space="0" w:color="auto"/>
            <w:left w:val="none" w:sz="0" w:space="0" w:color="auto"/>
            <w:bottom w:val="none" w:sz="0" w:space="0" w:color="auto"/>
            <w:right w:val="none" w:sz="0" w:space="0" w:color="auto"/>
          </w:divBdr>
        </w:div>
        <w:div w:id="1821269568">
          <w:marLeft w:val="274"/>
          <w:marRight w:val="0"/>
          <w:marTop w:val="40"/>
          <w:marBottom w:val="0"/>
          <w:divBdr>
            <w:top w:val="none" w:sz="0" w:space="0" w:color="auto"/>
            <w:left w:val="none" w:sz="0" w:space="0" w:color="auto"/>
            <w:bottom w:val="none" w:sz="0" w:space="0" w:color="auto"/>
            <w:right w:val="none" w:sz="0" w:space="0" w:color="auto"/>
          </w:divBdr>
        </w:div>
        <w:div w:id="422577694">
          <w:marLeft w:val="274"/>
          <w:marRight w:val="0"/>
          <w:marTop w:val="40"/>
          <w:marBottom w:val="0"/>
          <w:divBdr>
            <w:top w:val="none" w:sz="0" w:space="0" w:color="auto"/>
            <w:left w:val="none" w:sz="0" w:space="0" w:color="auto"/>
            <w:bottom w:val="none" w:sz="0" w:space="0" w:color="auto"/>
            <w:right w:val="none" w:sz="0" w:space="0" w:color="auto"/>
          </w:divBdr>
        </w:div>
        <w:div w:id="975645556">
          <w:marLeft w:val="274"/>
          <w:marRight w:val="0"/>
          <w:marTop w:val="40"/>
          <w:marBottom w:val="0"/>
          <w:divBdr>
            <w:top w:val="none" w:sz="0" w:space="0" w:color="auto"/>
            <w:left w:val="none" w:sz="0" w:space="0" w:color="auto"/>
            <w:bottom w:val="none" w:sz="0" w:space="0" w:color="auto"/>
            <w:right w:val="none" w:sz="0" w:space="0" w:color="auto"/>
          </w:divBdr>
        </w:div>
      </w:divsChild>
    </w:div>
    <w:div w:id="779253761">
      <w:bodyDiv w:val="1"/>
      <w:marLeft w:val="0"/>
      <w:marRight w:val="0"/>
      <w:marTop w:val="0"/>
      <w:marBottom w:val="0"/>
      <w:divBdr>
        <w:top w:val="none" w:sz="0" w:space="0" w:color="auto"/>
        <w:left w:val="none" w:sz="0" w:space="0" w:color="auto"/>
        <w:bottom w:val="none" w:sz="0" w:space="0" w:color="auto"/>
        <w:right w:val="none" w:sz="0" w:space="0" w:color="auto"/>
      </w:divBdr>
    </w:div>
    <w:div w:id="1047100054">
      <w:bodyDiv w:val="1"/>
      <w:marLeft w:val="0"/>
      <w:marRight w:val="0"/>
      <w:marTop w:val="0"/>
      <w:marBottom w:val="0"/>
      <w:divBdr>
        <w:top w:val="none" w:sz="0" w:space="0" w:color="auto"/>
        <w:left w:val="none" w:sz="0" w:space="0" w:color="auto"/>
        <w:bottom w:val="none" w:sz="0" w:space="0" w:color="auto"/>
        <w:right w:val="none" w:sz="0" w:space="0" w:color="auto"/>
      </w:divBdr>
    </w:div>
    <w:div w:id="1108239320">
      <w:bodyDiv w:val="1"/>
      <w:marLeft w:val="0"/>
      <w:marRight w:val="0"/>
      <w:marTop w:val="0"/>
      <w:marBottom w:val="0"/>
      <w:divBdr>
        <w:top w:val="none" w:sz="0" w:space="0" w:color="auto"/>
        <w:left w:val="none" w:sz="0" w:space="0" w:color="auto"/>
        <w:bottom w:val="none" w:sz="0" w:space="0" w:color="auto"/>
        <w:right w:val="none" w:sz="0" w:space="0" w:color="auto"/>
      </w:divBdr>
      <w:divsChild>
        <w:div w:id="1781216622">
          <w:marLeft w:val="446"/>
          <w:marRight w:val="0"/>
          <w:marTop w:val="0"/>
          <w:marBottom w:val="0"/>
          <w:divBdr>
            <w:top w:val="none" w:sz="0" w:space="0" w:color="auto"/>
            <w:left w:val="none" w:sz="0" w:space="0" w:color="auto"/>
            <w:bottom w:val="none" w:sz="0" w:space="0" w:color="auto"/>
            <w:right w:val="none" w:sz="0" w:space="0" w:color="auto"/>
          </w:divBdr>
        </w:div>
      </w:divsChild>
    </w:div>
    <w:div w:id="1251892598">
      <w:bodyDiv w:val="1"/>
      <w:marLeft w:val="0"/>
      <w:marRight w:val="0"/>
      <w:marTop w:val="0"/>
      <w:marBottom w:val="0"/>
      <w:divBdr>
        <w:top w:val="none" w:sz="0" w:space="0" w:color="auto"/>
        <w:left w:val="none" w:sz="0" w:space="0" w:color="auto"/>
        <w:bottom w:val="none" w:sz="0" w:space="0" w:color="auto"/>
        <w:right w:val="none" w:sz="0" w:space="0" w:color="auto"/>
      </w:divBdr>
      <w:divsChild>
        <w:div w:id="1000355315">
          <w:marLeft w:val="0"/>
          <w:marRight w:val="0"/>
          <w:marTop w:val="0"/>
          <w:marBottom w:val="0"/>
          <w:divBdr>
            <w:top w:val="none" w:sz="0" w:space="0" w:color="auto"/>
            <w:left w:val="none" w:sz="0" w:space="0" w:color="auto"/>
            <w:bottom w:val="none" w:sz="0" w:space="0" w:color="auto"/>
            <w:right w:val="none" w:sz="0" w:space="0" w:color="auto"/>
          </w:divBdr>
        </w:div>
        <w:div w:id="1058744514">
          <w:marLeft w:val="0"/>
          <w:marRight w:val="0"/>
          <w:marTop w:val="0"/>
          <w:marBottom w:val="0"/>
          <w:divBdr>
            <w:top w:val="none" w:sz="0" w:space="0" w:color="auto"/>
            <w:left w:val="none" w:sz="0" w:space="0" w:color="auto"/>
            <w:bottom w:val="none" w:sz="0" w:space="0" w:color="auto"/>
            <w:right w:val="none" w:sz="0" w:space="0" w:color="auto"/>
          </w:divBdr>
        </w:div>
        <w:div w:id="713385873">
          <w:marLeft w:val="0"/>
          <w:marRight w:val="0"/>
          <w:marTop w:val="0"/>
          <w:marBottom w:val="0"/>
          <w:divBdr>
            <w:top w:val="none" w:sz="0" w:space="0" w:color="auto"/>
            <w:left w:val="none" w:sz="0" w:space="0" w:color="auto"/>
            <w:bottom w:val="none" w:sz="0" w:space="0" w:color="auto"/>
            <w:right w:val="none" w:sz="0" w:space="0" w:color="auto"/>
          </w:divBdr>
        </w:div>
        <w:div w:id="1133451906">
          <w:marLeft w:val="0"/>
          <w:marRight w:val="0"/>
          <w:marTop w:val="0"/>
          <w:marBottom w:val="0"/>
          <w:divBdr>
            <w:top w:val="none" w:sz="0" w:space="0" w:color="auto"/>
            <w:left w:val="none" w:sz="0" w:space="0" w:color="auto"/>
            <w:bottom w:val="none" w:sz="0" w:space="0" w:color="auto"/>
            <w:right w:val="none" w:sz="0" w:space="0" w:color="auto"/>
          </w:divBdr>
        </w:div>
        <w:div w:id="1809399675">
          <w:marLeft w:val="0"/>
          <w:marRight w:val="0"/>
          <w:marTop w:val="0"/>
          <w:marBottom w:val="0"/>
          <w:divBdr>
            <w:top w:val="none" w:sz="0" w:space="0" w:color="auto"/>
            <w:left w:val="none" w:sz="0" w:space="0" w:color="auto"/>
            <w:bottom w:val="none" w:sz="0" w:space="0" w:color="auto"/>
            <w:right w:val="none" w:sz="0" w:space="0" w:color="auto"/>
          </w:divBdr>
        </w:div>
        <w:div w:id="1744064999">
          <w:marLeft w:val="0"/>
          <w:marRight w:val="0"/>
          <w:marTop w:val="0"/>
          <w:marBottom w:val="0"/>
          <w:divBdr>
            <w:top w:val="none" w:sz="0" w:space="0" w:color="auto"/>
            <w:left w:val="none" w:sz="0" w:space="0" w:color="auto"/>
            <w:bottom w:val="none" w:sz="0" w:space="0" w:color="auto"/>
            <w:right w:val="none" w:sz="0" w:space="0" w:color="auto"/>
          </w:divBdr>
        </w:div>
        <w:div w:id="1002003231">
          <w:marLeft w:val="0"/>
          <w:marRight w:val="0"/>
          <w:marTop w:val="0"/>
          <w:marBottom w:val="0"/>
          <w:divBdr>
            <w:top w:val="none" w:sz="0" w:space="0" w:color="auto"/>
            <w:left w:val="none" w:sz="0" w:space="0" w:color="auto"/>
            <w:bottom w:val="none" w:sz="0" w:space="0" w:color="auto"/>
            <w:right w:val="none" w:sz="0" w:space="0" w:color="auto"/>
          </w:divBdr>
        </w:div>
        <w:div w:id="1472987578">
          <w:marLeft w:val="0"/>
          <w:marRight w:val="0"/>
          <w:marTop w:val="0"/>
          <w:marBottom w:val="0"/>
          <w:divBdr>
            <w:top w:val="none" w:sz="0" w:space="0" w:color="auto"/>
            <w:left w:val="none" w:sz="0" w:space="0" w:color="auto"/>
            <w:bottom w:val="none" w:sz="0" w:space="0" w:color="auto"/>
            <w:right w:val="none" w:sz="0" w:space="0" w:color="auto"/>
          </w:divBdr>
        </w:div>
      </w:divsChild>
    </w:div>
    <w:div w:id="1419909300">
      <w:bodyDiv w:val="1"/>
      <w:marLeft w:val="0"/>
      <w:marRight w:val="0"/>
      <w:marTop w:val="0"/>
      <w:marBottom w:val="0"/>
      <w:divBdr>
        <w:top w:val="none" w:sz="0" w:space="0" w:color="auto"/>
        <w:left w:val="none" w:sz="0" w:space="0" w:color="auto"/>
        <w:bottom w:val="none" w:sz="0" w:space="0" w:color="auto"/>
        <w:right w:val="none" w:sz="0" w:space="0" w:color="auto"/>
      </w:divBdr>
    </w:div>
    <w:div w:id="1713114149">
      <w:bodyDiv w:val="1"/>
      <w:marLeft w:val="0"/>
      <w:marRight w:val="0"/>
      <w:marTop w:val="0"/>
      <w:marBottom w:val="0"/>
      <w:divBdr>
        <w:top w:val="none" w:sz="0" w:space="0" w:color="auto"/>
        <w:left w:val="none" w:sz="0" w:space="0" w:color="auto"/>
        <w:bottom w:val="none" w:sz="0" w:space="0" w:color="auto"/>
        <w:right w:val="none" w:sz="0" w:space="0" w:color="auto"/>
      </w:divBdr>
    </w:div>
    <w:div w:id="1743677339">
      <w:bodyDiv w:val="1"/>
      <w:marLeft w:val="0"/>
      <w:marRight w:val="0"/>
      <w:marTop w:val="0"/>
      <w:marBottom w:val="0"/>
      <w:divBdr>
        <w:top w:val="none" w:sz="0" w:space="0" w:color="auto"/>
        <w:left w:val="none" w:sz="0" w:space="0" w:color="auto"/>
        <w:bottom w:val="none" w:sz="0" w:space="0" w:color="auto"/>
        <w:right w:val="none" w:sz="0" w:space="0" w:color="auto"/>
      </w:divBdr>
      <w:divsChild>
        <w:div w:id="437792484">
          <w:marLeft w:val="446"/>
          <w:marRight w:val="0"/>
          <w:marTop w:val="0"/>
          <w:marBottom w:val="0"/>
          <w:divBdr>
            <w:top w:val="none" w:sz="0" w:space="0" w:color="auto"/>
            <w:left w:val="none" w:sz="0" w:space="0" w:color="auto"/>
            <w:bottom w:val="none" w:sz="0" w:space="0" w:color="auto"/>
            <w:right w:val="none" w:sz="0" w:space="0" w:color="auto"/>
          </w:divBdr>
        </w:div>
      </w:divsChild>
    </w:div>
    <w:div w:id="194059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B2857-6375-48EF-9FC5-D0C8D5303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2613</TotalTime>
  <Pages>6</Pages>
  <Words>2012</Words>
  <Characters>11072</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Cesar Augusto Pineda Gómez</dc:creator>
  <cp:keywords/>
  <dc:description/>
  <cp:lastModifiedBy>Nashla González Cleves</cp:lastModifiedBy>
  <cp:revision>341</cp:revision>
  <dcterms:created xsi:type="dcterms:W3CDTF">2023-11-01T15:43:00Z</dcterms:created>
  <dcterms:modified xsi:type="dcterms:W3CDTF">2024-01-31T16:39:00Z</dcterms:modified>
</cp:coreProperties>
</file>